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/>
          <w:b/>
          <w:strike/>
          <w:sz w:val="24"/>
          <w:szCs w:val="24"/>
        </w:rPr>
      </w:pPr>
      <w:r>
        <w:rPr/>
        <w:t>СОВЕТ ДЕПУТАТОВ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НОВОНАДЕЖДИНСКОГО СЕЛЬСКОГО ПОСЕЛЕНИЯ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ГОРОДИЩЕНСКОГО МУНИЦИПАЛЬНОГО РАЙОНА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 xml:space="preserve">от  15.12.2022г.                                                                                             № </w:t>
        <w:softHyphen/>
        <w:softHyphen/>
        <w:t>9/7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 утверждении  Программы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комплексного  развития социальной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инфраструктуры Новонадеждинского сельского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поселения Городищенского  муниципального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района Волгоградской области на 2023-2027 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годы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Генеральным планом Новонадеждинского сельского поселения Городищенского  муниципального района, Совет депутатов Новонадеждинского сельского поселения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РЕШИЛ: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1.Утвердить прилагаемую Программу комплексного  развития социальной инфраструктуры Новонадеждинского сельского поселения Городищенского муниципального района Волгоградской области на  2023-2027 годы.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2.Настоящее решение подлежит обнародованию в установленном порядке и  размещению на  официальном сайте администрации Новонадеждинского сельского поселения в информационно-телекоммуникационной сети «Интернет».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Контроль над исполнением настоящего решения оставляю за собой.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 Новонадеждинского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сельского  поселения                                                                                      О.В.Нагорная                          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Утверждена </w:t>
      </w:r>
    </w:p>
    <w:p>
      <w:pPr>
        <w:pStyle w:val="NoSpacing"/>
        <w:jc w:val="right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cs="Times New Roman" w:ascii="Times New Roman" w:hAnsi="Times New Roman"/>
          <w:strike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Решением Совета депутатов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Новонадеждинского сельского поселения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15.12.2022 № </w:t>
        <w:softHyphen/>
        <w:softHyphen/>
        <w:t>9/7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ПРОГРАММА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КОМПЛЕКСНОГО РАЗВИТИЯ СОЦИАЛЬНОЙ ИНФРАСТРУКТУРЫ НОВОНАДЕЖДИНСКОГО   СЕЛЬСКОГО ПОСЕЛЕНИЯ ГОРОДИЩЕНСКОГО  МУНИЦИПАЛЬНОГО РАЙОНА ВОЛГОГРАДСКОЙ ОБЛАСТИ НА 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2023-2027 годы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Паспорт программы.</w:t>
      </w:r>
    </w:p>
    <w:tbl>
      <w:tblPr>
        <w:tblW w:w="5000" w:type="pct"/>
        <w:jc w:val="left"/>
        <w:tblInd w:w="-8" w:type="dxa"/>
        <w:tblLayout w:type="fixed"/>
        <w:tblCellMar>
          <w:top w:w="12" w:type="dxa"/>
          <w:left w:w="22" w:type="dxa"/>
          <w:bottom w:w="12" w:type="dxa"/>
          <w:right w:w="22" w:type="dxa"/>
        </w:tblCellMar>
        <w:tblLook w:firstRow="1" w:noVBand="0" w:lastRow="0" w:firstColumn="1" w:lastColumn="0" w:noHBand="0" w:val="00a0"/>
      </w:tblPr>
      <w:tblGrid>
        <w:gridCol w:w="2245"/>
        <w:gridCol w:w="82"/>
        <w:gridCol w:w="7026"/>
      </w:tblGrid>
      <w:tr>
        <w:trPr>
          <w:trHeight w:val="1180" w:hRule="atLeast"/>
        </w:trPr>
        <w:tc>
          <w:tcPr>
            <w:tcW w:w="23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7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Программа комплексного развития социальной инфраструктуры   Новонадеждинского сельского поселения Городищенского муниципального района Волгоградской области на   2023-2027 годы</w:t>
            </w:r>
          </w:p>
        </w:tc>
      </w:tr>
      <w:tr>
        <w:trPr/>
        <w:tc>
          <w:tcPr>
            <w:tcW w:w="23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7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Градостроительный Кодекс Российской Федерации,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план Новонадеждинского сельского поселения Городищенского  муниципального района Волгоградской области,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Устав Новонадеждинского сельского поселения</w:t>
            </w:r>
          </w:p>
        </w:tc>
      </w:tr>
      <w:tr>
        <w:trPr/>
        <w:tc>
          <w:tcPr>
            <w:tcW w:w="23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Заказчик программы:</w:t>
              <w:br/>
              <w:br/>
              <w:t>Разработчик программы:</w:t>
            </w:r>
          </w:p>
        </w:tc>
        <w:tc>
          <w:tcPr>
            <w:tcW w:w="7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 Новонадеждинского сельского поселения Городищенского  муниципального района Волгоградской  области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 Новонадеждинского сельского поселения Городищенского муниципального района Волгоградской  области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7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социальной инфраструктуры Новонадеждинского сельского поселения</w:t>
            </w:r>
          </w:p>
        </w:tc>
      </w:tr>
      <w:tr>
        <w:trPr/>
        <w:tc>
          <w:tcPr>
            <w:tcW w:w="23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7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Развитие социальной инфраструктуры,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Развитие личных подсобных хозяйств;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6.Создание условий для безопасного проживания населения на территории поселения.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8.Содействие в обеспечении социальной поддержки слабозащищенным слоям населения:</w:t>
            </w:r>
          </w:p>
        </w:tc>
      </w:tr>
      <w:tr>
        <w:trPr/>
        <w:tc>
          <w:tcPr>
            <w:tcW w:w="23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показатели ежегодного сокращения миграционного оттока</w:t>
              <w:br/>
              <w:t>- улучшение качества услуг, предоставляемых учреждениями культуры Новонадеждинского сельского поселения;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создание условий для занятий спортом;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развитие транспортной инфраструктуры.</w:t>
            </w:r>
          </w:p>
        </w:tc>
      </w:tr>
      <w:tr>
        <w:trPr/>
        <w:tc>
          <w:tcPr>
            <w:tcW w:w="23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 Строительство спортивной  площадки.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2. Текущий  ремонт автомобильных дорог местного значения;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Строительство объектов благоустройства: зон отдыха, детских игровых площадок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4.Уличное освещение поселка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</w:tr>
      <w:tr>
        <w:trPr>
          <w:trHeight w:val="786" w:hRule="atLeast"/>
        </w:trPr>
        <w:tc>
          <w:tcPr>
            <w:tcW w:w="23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Сроки и этапы реализации Программы:</w:t>
            </w:r>
          </w:p>
        </w:tc>
        <w:tc>
          <w:tcPr>
            <w:tcW w:w="7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реализации Программы   2023-2027 годы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93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71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Администрация Новонадеждинского сельского поселения Городищенского  муниципального района Волгоградской области,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1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Программа финансируется  из местного бюджета</w:t>
            </w:r>
          </w:p>
        </w:tc>
      </w:tr>
      <w:tr>
        <w:trPr/>
        <w:tc>
          <w:tcPr>
            <w:tcW w:w="2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0" w:after="283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1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0" w:after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Повышение уровня жизни  населения, динамичное развитие социальной инфраструктуры Новонадеждинского сельского поселения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 Введение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Стратегический план развития Новонадеждинского сельского поселения (далее – поселение)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Новонадеждинского сельского поселения Городищенского  муниципального района Волгоградской области 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 поселения 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 и межрегиональной кооперации.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 поселения.</w:t>
      </w:r>
      <w:bookmarkStart w:id="1" w:name="_Toc125547917"/>
    </w:p>
    <w:p>
      <w:pPr>
        <w:pStyle w:val="NoSpacing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 xml:space="preserve">Раздел 2. Социально-экономическая ситуация  и потенциал развития  </w:t>
      </w:r>
      <w:r>
        <w:rPr>
          <w:rFonts w:cs="Times New Roman" w:ascii="Times New Roman" w:hAnsi="Times New Roman"/>
          <w:b/>
          <w:sz w:val="24"/>
          <w:szCs w:val="24"/>
        </w:rPr>
        <w:t>Новонадеждинского</w:t>
      </w: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 xml:space="preserve">   сельского поселения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bookmarkStart w:id="2" w:name="_Toc132716903"/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2.1. Анализ социального развития сельского поселения</w:t>
      </w:r>
      <w:bookmarkEnd w:id="2"/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Общая площадь Новонадеждинского сельского поселения составляет 6007</w:t>
      </w:r>
      <w:r>
        <w:rPr>
          <w:rStyle w:val="FontStyle7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га. Численность населения по данным на 01.01.2022 года составила 1786 человек. </w:t>
      </w:r>
      <w:bookmarkEnd w:id="1"/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Наличие земельных ресурсов </w:t>
      </w:r>
      <w:r>
        <w:rPr>
          <w:rStyle w:val="FontStyle73"/>
          <w:b/>
          <w:sz w:val="24"/>
          <w:szCs w:val="24"/>
        </w:rPr>
        <w:t>Новонадеждинского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сельского поселения Городищенского  муниципального района Волгоградской области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</w:r>
      <w:r>
        <w:rPr>
          <w:rFonts w:cs="Times New Roman" w:ascii="Times New Roman" w:hAnsi="Times New Roman"/>
          <w:sz w:val="24"/>
          <w:szCs w:val="24"/>
        </w:rPr>
        <w:t>Таб.1</w:t>
      </w:r>
    </w:p>
    <w:tbl>
      <w:tblPr>
        <w:tblW w:w="913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621"/>
        <w:gridCol w:w="3514"/>
      </w:tblGrid>
      <w:tr>
        <w:trPr/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Категории земель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Общая площадь,га</w:t>
            </w:r>
          </w:p>
        </w:tc>
      </w:tr>
      <w:tr>
        <w:trPr/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5583</w:t>
            </w:r>
          </w:p>
        </w:tc>
      </w:tr>
      <w:tr>
        <w:trPr/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 т.ч.пашни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3961</w:t>
            </w:r>
          </w:p>
        </w:tc>
      </w:tr>
      <w:tr>
        <w:trPr/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пастбища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Style w:val="FontStyle73"/>
                <w:sz w:val="20"/>
                <w:szCs w:val="20"/>
              </w:rPr>
            </w:pPr>
            <w:r>
              <w:rPr>
                <w:rStyle w:val="FontStyle73"/>
                <w:sz w:val="20"/>
                <w:szCs w:val="20"/>
              </w:rPr>
              <w:t>1622</w:t>
            </w:r>
          </w:p>
        </w:tc>
      </w:tr>
      <w:tr>
        <w:trPr/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Земли промышленности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131</w:t>
            </w:r>
          </w:p>
        </w:tc>
      </w:tr>
      <w:tr>
        <w:trPr/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Земли лесного фонда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Земли водного фонда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82</w:t>
            </w:r>
          </w:p>
        </w:tc>
      </w:tr>
      <w:tr>
        <w:trPr/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Земли запаса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</w:t>
            </w:r>
          </w:p>
        </w:tc>
      </w:tr>
      <w:tr>
        <w:trPr/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180</w:t>
            </w:r>
          </w:p>
        </w:tc>
      </w:tr>
      <w:tr>
        <w:trPr/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Итого земель в границах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6007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 приведенной таблицы видно, что сельскохозяйственные угодья занимают 93 %. Земли сельскохозяйственного назначения являются экономической основой поселения.</w:t>
      </w:r>
    </w:p>
    <w:p>
      <w:pPr>
        <w:pStyle w:val="NoSpacing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bookmarkStart w:id="3" w:name="_Toc55389930"/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2.2   </w:t>
      </w:r>
      <w:bookmarkEnd w:id="3"/>
      <w:r>
        <w:rPr>
          <w:rFonts w:cs="Times New Roman" w:ascii="Times New Roman" w:hAnsi="Times New Roman"/>
          <w:b/>
          <w:bCs/>
          <w:sz w:val="24"/>
          <w:szCs w:val="24"/>
        </w:rPr>
        <w:t>Административное деление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состав Новонадеждинского сельского поселения входит 2 населенных пункта: п.Новая Надежда и Радужный.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</w:r>
      <w:bookmarkStart w:id="4" w:name="_Toc132715994"/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2.3 </w:t>
      </w:r>
      <w:bookmarkEnd w:id="4"/>
      <w:r>
        <w:rPr>
          <w:rFonts w:cs="Times New Roman" w:ascii="Times New Roman" w:hAnsi="Times New Roman"/>
          <w:b/>
          <w:bCs/>
          <w:sz w:val="24"/>
          <w:szCs w:val="24"/>
        </w:rPr>
        <w:t>Демографическая ситуация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 xml:space="preserve">Общая  численность  населения Новонадеждинского сельского поселения на 01.01.2022 года  составила  1786 человек. Численность  трудоспособного  возраста  составляет  человек  1139чел. </w:t>
      </w:r>
      <w:r>
        <w:rPr>
          <w:rFonts w:cs="Times New Roman" w:ascii="Times New Roman" w:hAnsi="Times New Roman"/>
          <w:sz w:val="24"/>
          <w:szCs w:val="24"/>
          <w:highlight w:val="yellow"/>
        </w:rPr>
        <w:t>(</w:t>
      </w:r>
      <w:r>
        <w:rPr>
          <w:rFonts w:cs="Times New Roman" w:ascii="Times New Roman" w:hAnsi="Times New Roman"/>
          <w:sz w:val="24"/>
          <w:szCs w:val="24"/>
        </w:rPr>
        <w:t xml:space="preserve">63,7 % от общей  численности).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Данные о возрастной структуре населения на 01. 01. 2022г.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>Таб.2</w:t>
      </w:r>
    </w:p>
    <w:tbl>
      <w:tblPr>
        <w:tblW w:w="9599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72"/>
        <w:gridCol w:w="1329"/>
        <w:gridCol w:w="1582"/>
        <w:gridCol w:w="1777"/>
        <w:gridCol w:w="1679"/>
        <w:gridCol w:w="1459"/>
      </w:tblGrid>
      <w:tr>
        <w:trPr/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Число жителей, чел.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Детей от 0 до 7 лет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Детей от 7 до 18лет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Население трудоспособного возраста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Население пенсионного возраста</w:t>
            </w:r>
          </w:p>
        </w:tc>
      </w:tr>
      <w:tr>
        <w:trPr/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38" w:hRule="atLeast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Новая Надежда, СНТ «Спутник»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1436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221</w:t>
            </w:r>
          </w:p>
        </w:tc>
      </w:tr>
      <w:tr>
        <w:trPr>
          <w:trHeight w:val="560" w:hRule="atLeast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Радужный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</w:t>
            </w:r>
          </w:p>
        </w:tc>
      </w:tr>
      <w:tr>
        <w:trPr>
          <w:trHeight w:val="427" w:hRule="atLeast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1786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1139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266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Демографическая ситуация в  поселении в 2022 году улучшилась по сравнению с предыдущими периодами,  число родившихся ( 16 ) превышает число умерших (14). Баланс  населения   увеличился на 69  человек из-за превышения числа прибывших  101 над числом убывших ( 63) на территорию поселения. 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2.4    Рынок труда в поселении</w:t>
      </w:r>
    </w:p>
    <w:p>
      <w:pPr>
        <w:pStyle w:val="NoSpacing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Численность трудоспособного населения - </w:t>
      </w:r>
      <w:r>
        <w:rPr>
          <w:rFonts w:cs="Times New Roman" w:ascii="Times New Roman" w:hAnsi="Times New Roman"/>
          <w:sz w:val="24"/>
          <w:szCs w:val="24"/>
        </w:rPr>
        <w:t xml:space="preserve"> 1139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 человек. Доля численности населения в трудоспособном возрасте от общей составляет   63,7процента. Часть трудоспособного населения вынуждена работать за пределами сельского поселения (Волгоград, Москва, Краснодар, северные территории и др.)</w:t>
        <w:tab/>
        <w:tab/>
        <w:tab/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  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 все граждане трудоспособного возраста трудоустроены. Пенсионеры составляют 14,3%  населения. В поселении существует проблема занятости трудоспособного населения. В связи с этим, одной из  главных задач для органов местного самоуправления  в поселении должна стать занятость населения. </w:t>
      </w:r>
      <w:bookmarkStart w:id="5" w:name="_Toc132716908"/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2.5 Развитие отраслей социальной сферы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Прогнозом на </w:t>
      </w:r>
      <w:r>
        <w:rPr>
          <w:rFonts w:cs="Times New Roman" w:ascii="Times New Roman" w:hAnsi="Times New Roman"/>
          <w:strike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2023 год и на период до  2027 года  определены следующие приоритеты социального  развития  поселения: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-повышение уровня жизни населения  поселения, в т.ч. на основе развития социальной инфраструктуры;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-развитие жилищной сферы в  поселении;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-создание условий для гармоничного развития подрастающего поколения в  поселении;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-сохранение культурного наследия.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2.6 Культура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Предоставление услуг населению в области культуры в Новонадеждинском  сельском поселении осуществляют: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отдел культуры администрации поселения, библиотека.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Отделом культуры поселения созданы взрослые и детские коллективы, работают кружки для взрослых и детей различных направлений: творческие, танцевальные и т.д.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Задача сотрудников отдела культуры - вводить инновационные формы организации досуга населения и  увеличить процент охвата населения. Проведение этих мероприятий позволит увеличить обеспеченность населения сельского поселения культурно-досуговыми мероприятиями и качеством услуг.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2.7 Физическая культура и спорт</w:t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ab/>
        <w:tab/>
        <w:tab/>
        <w:tab/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В Новонадеждинском сельском поселении ведется спортивная работа в многочисленных секциях. Спортивная площадка и спортивный зал находятся на территории Новонадеждинской школы, другой спортивной площадки нет.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Имеющаяся спортивная площадка по занимаемой площади  не обеспечивает население по существующим нормативам на количество населения </w:t>
      </w:r>
      <w:bookmarkEnd w:id="5"/>
      <w:r>
        <w:rPr>
          <w:rFonts w:cs="Times New Roman" w:ascii="Times New Roman" w:hAnsi="Times New Roman"/>
          <w:sz w:val="24"/>
          <w:szCs w:val="24"/>
        </w:rPr>
        <w:t>в  поселении.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2.8    Образование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территории поселения находится 1  школа,  1 детский сад 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 xml:space="preserve">  </w:t>
      </w:r>
    </w:p>
    <w:p>
      <w:pPr>
        <w:pStyle w:val="NoSpacing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bookmarkStart w:id="6" w:name="_Toc132716909"/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2.9  </w:t>
      </w:r>
      <w:bookmarkEnd w:id="6"/>
      <w:r>
        <w:rPr>
          <w:rFonts w:cs="Times New Roman" w:ascii="Times New Roman" w:hAnsi="Times New Roman"/>
          <w:b/>
          <w:bCs/>
          <w:sz w:val="24"/>
          <w:szCs w:val="24"/>
        </w:rPr>
        <w:t>Здравоохранение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  </w:t>
      </w:r>
      <w:r>
        <w:rPr>
          <w:rFonts w:cs="Times New Roman" w:ascii="Times New Roman" w:hAnsi="Times New Roman"/>
          <w:sz w:val="24"/>
          <w:szCs w:val="24"/>
        </w:rPr>
        <w:t xml:space="preserve">На территории поселения находится ФАП. Кадровый состав сформирован полностью       (фельдшер, медсестра). </w:t>
      </w:r>
      <w:bookmarkStart w:id="7" w:name="_Toc132716910"/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2.10 Социальная защита населения</w:t>
      </w:r>
    </w:p>
    <w:p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bookmarkEnd w:id="7"/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На территории поселения работает один социальный работник, а так же специалисты администрации поселения оказывают необходимую консультационную помощь пожилым людям, привлекают к решению их проблем специалистов здравоохранения (ФАПа), специалистов отделения соцзащиты Городищенского района, полицию. Проводятся рейды в семьи, беседы с пожилыми людьми, их родственниками.</w:t>
      </w:r>
    </w:p>
    <w:p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bookmarkStart w:id="8" w:name="_Toc132716913"/>
      <w:r>
        <w:rPr>
          <w:rFonts w:cs="Times New Roman" w:ascii="Times New Roman" w:hAnsi="Times New Roman"/>
          <w:b/>
          <w:bCs/>
          <w:sz w:val="24"/>
          <w:szCs w:val="24"/>
        </w:rPr>
        <w:t xml:space="preserve">2.11 </w:t>
      </w:r>
      <w:bookmarkEnd w:id="8"/>
      <w:r>
        <w:rPr>
          <w:rFonts w:cs="Times New Roman" w:ascii="Times New Roman" w:hAnsi="Times New Roman"/>
          <w:b/>
          <w:bCs/>
          <w:sz w:val="24"/>
          <w:szCs w:val="24"/>
        </w:rPr>
        <w:t>Жилищный фонд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Состояние жилищно - коммунальной сферы Новонадеждинского сельского поселения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Данные о существующем жилищном фонде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865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71"/>
        <w:gridCol w:w="5999"/>
        <w:gridCol w:w="2083"/>
      </w:tblGrid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пп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 01.01. 2022г.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Средний размер семьи, чел.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Общий жилой фонд, м</w:t>
            </w:r>
            <w:r>
              <w:rPr>
                <w:rFonts w:cs="Times New Roman"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общ. площади,  в т.ч.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52400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71,4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52266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ФАП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62,6</w:t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            </w:t>
      </w:r>
      <w:r>
        <w:rPr>
          <w:rFonts w:cs="Times New Roman" w:ascii="Times New Roman" w:hAnsi="Times New Roman"/>
          <w:sz w:val="24"/>
          <w:szCs w:val="24"/>
        </w:rPr>
        <w:t>К услугам  ЖКХ,  предоставляемым  в поселении,  относится электро-, газо- и водоснабжение,  населения. Централизованного водоотведения в поселении нет, используются септики.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Населенный пункт  газифицирован, но к  двум двухэтажным домам и части жилых домов газ не подведен. Централизованного теплоснабжения в поселении нет.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9" w:name="_Toc132716914"/>
    </w:p>
    <w:p>
      <w:pPr>
        <w:pStyle w:val="NoSpacing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  <w:bookmarkEnd w:id="9"/>
    </w:p>
    <w:p>
      <w:pPr>
        <w:pStyle w:val="NoSpacing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Toc132716915"/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Раздел 3. Основные стратегическими направлениями развития поселения</w:t>
      </w:r>
      <w:bookmarkEnd w:id="10"/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b/>
          <w:bCs/>
          <w:sz w:val="24"/>
          <w:szCs w:val="24"/>
        </w:rPr>
        <w:t>Экономические: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спорта, помощь в организации питания школьников на взаимовыгодных условиях.  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>
        <w:rPr>
          <w:rFonts w:cs="Times New Roman" w:ascii="Times New Roman" w:hAnsi="Times New Roman"/>
          <w:i/>
          <w:iCs/>
          <w:sz w:val="24"/>
          <w:szCs w:val="24"/>
        </w:rPr>
        <w:t>           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 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Социальные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  Развитие социальной инфраструктуры, культуры, физкультуры и спорта: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поощрение. 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    Развитие личного подворья граждан и КФХ, как источника доходов населения.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-помощь населению в реализации мяса, молока с личных подсобных хозяйств;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-поддержка предпринимателей осуществляющих закупку продукции с личных подсобных хозяйств на выгодных для населения условиях.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-помощь членам их семей в устройстве на работу;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    Содействие в обеспечении социальной поддержки слабозащищенным слоям населения: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-содействие в привлечении бюджетных средств, спонсорской помощи для поддержания одиноких пенсионеров, инвалидов, многодетных семей 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   Привлечение средств из областного и федерального бюджетов: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-Транспортная сфера</w:t>
      </w:r>
    </w:p>
    <w:p>
      <w:pPr>
        <w:pStyle w:val="NoSpacing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bookmarkStart w:id="11" w:name="_Toc132715995"/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Раздел 4. Система основных программных мероприятий по развитию Новонадеждинского сельского поселения</w:t>
      </w:r>
      <w:bookmarkEnd w:id="11"/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  </w:t>
      </w:r>
      <w:r>
        <w:rPr>
          <w:rFonts w:cs="Times New Roman" w:ascii="Times New Roman" w:hAnsi="Times New Roman"/>
          <w:sz w:val="24"/>
          <w:szCs w:val="24"/>
        </w:rPr>
        <w:t>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  </w:t>
      </w:r>
      <w:r>
        <w:rPr>
          <w:rFonts w:cs="Times New Roman" w:ascii="Times New Roman" w:hAnsi="Times New Roman"/>
          <w:sz w:val="24"/>
          <w:szCs w:val="24"/>
        </w:rPr>
        <w:t>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Мероприятия Программы социального развития  поселения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2023-2027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240" w:after="12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Раздел 5.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сельского поселения, а также мероприятий, реализация которых предусмотрена по иным основаниям за счет внебюджетных источников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Цель Программы: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обеспечение развития социальной инфраструктуры  поселения  для закрепления населения, повышения уровня его жизни.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Задачи Программы: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развитие системы образования и культуры за счет строительства, реконструкции и ремонта   данных учреждений;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развитие социальной инфраструктуры Новонадеждинского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Программа реализуется в период  2023-2027 годы.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Новонадеждинского сельского поселения: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Строительство современной спортивной площадки;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Ремонт автомобильных дорог местного значения;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Благоустройство территории поселения.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Обустройство, строительство зон отдыха, детских площадок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Уличное освещение поселка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>
      <w:pPr>
        <w:pStyle w:val="Normal"/>
        <w:spacing w:lineRule="auto" w:line="240" w:before="240" w:after="12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Раздел 6.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Финансирование входящих в Программу мероприятий осуществляется за счет средств бюджета Новонадеждинского сельского поселения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Прогнозный общий объем финансирования Программы на период  2023-2027 годов составляет  17639,00 тыс. руб., в том числе по годам: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2023г. –  3200,00 тыс. руб.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2024 г. –  3756,00тыс. руб.   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2025 г. –  3561,00 тыс. руб.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2026г. -   3561,00 тыс. руб.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2027 г. -   3561,00 тыс. руб.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Для  реализации мероприятий могут привлекаться также другие источники.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>
      <w:pPr>
        <w:pStyle w:val="Normal"/>
        <w:spacing w:lineRule="auto" w:line="240" w:before="240" w:after="12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240" w:after="12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footerReference w:type="default" r:id="rId2"/>
          <w:type w:val="nextPage"/>
          <w:pgSz w:w="11906" w:h="16838"/>
          <w:pgMar w:left="1701" w:right="851" w:header="0" w:top="851" w:footer="709" w:bottom="766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310" w:type="dxa"/>
        <w:jc w:val="left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93"/>
        <w:gridCol w:w="2970"/>
        <w:gridCol w:w="714"/>
        <w:gridCol w:w="1139"/>
        <w:gridCol w:w="1425"/>
        <w:gridCol w:w="1133"/>
        <w:gridCol w:w="992"/>
        <w:gridCol w:w="1275"/>
        <w:gridCol w:w="1274"/>
        <w:gridCol w:w="1697"/>
        <w:gridCol w:w="1696"/>
      </w:tblGrid>
      <w:tr>
        <w:trPr>
          <w:tblHeader w:val="true"/>
          <w:trHeight w:val="287" w:hRule="atLeast"/>
        </w:trPr>
        <w:tc>
          <w:tcPr>
            <w:tcW w:w="15308" w:type="dxa"/>
            <w:gridSpan w:val="11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018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018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018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018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018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Объемы и источники финансирования мероприятий Программы</w:t>
            </w:r>
          </w:p>
        </w:tc>
      </w:tr>
      <w:tr>
        <w:trPr>
          <w:tblHeader w:val="true"/>
          <w:trHeight w:val="287" w:hRule="atLeast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финансирования, тыс.рублей</w:t>
            </w:r>
          </w:p>
        </w:tc>
        <w:tc>
          <w:tcPr>
            <w:tcW w:w="1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01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Заказчик программы</w:t>
            </w:r>
          </w:p>
        </w:tc>
      </w:tr>
      <w:tr>
        <w:trPr>
          <w:tblHeader w:val="true"/>
          <w:trHeight w:val="255" w:hRule="atLeast"/>
        </w:trPr>
        <w:tc>
          <w:tcPr>
            <w:tcW w:w="99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7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69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blHeader w:val="true"/>
          <w:trHeight w:val="285" w:hRule="atLeast"/>
        </w:trPr>
        <w:tc>
          <w:tcPr>
            <w:tcW w:w="99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9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blHeader w:val="true"/>
          <w:trHeight w:val="315" w:hRule="atLeast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</w:tr>
      <w:tr>
        <w:trPr>
          <w:trHeight w:val="427" w:hRule="atLeast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Программа комплексного развития социальной инфраструктуры Новонадеждинского сельского поселения Городищенского муниципального района на 2023-2027годы</w:t>
            </w:r>
          </w:p>
        </w:tc>
      </w:tr>
      <w:tr>
        <w:trPr>
          <w:trHeight w:val="427" w:hRule="atLeast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3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Цель:  обеспечение развития социальной инфраструктуры Новонадеждинского сельского поселения  для закрепления населения, повышения уровня его жизни</w:t>
            </w:r>
          </w:p>
        </w:tc>
      </w:tr>
      <w:tr>
        <w:trPr>
          <w:trHeight w:val="495" w:hRule="atLeast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trike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trike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7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107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3200,00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7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107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7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107" w:right="-108" w:hanging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7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107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3200,00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7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107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99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trike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trike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7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before="0" w:after="200"/>
              <w:ind w:left="-107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3756,00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107" w:right="-108" w:hanging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107" w:right="-108" w:hanging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7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before="0" w:after="200"/>
              <w:ind w:left="-107" w:right="-108" w:hanging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3756,00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right="-108" w:hanging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69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99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trike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7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3561,00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7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7" w:right="-108" w:hanging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7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3561,00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7" w:right="-108" w:hanging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69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99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trike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7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3561,00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7" w:right="-108" w:hanging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7" w:right="-108" w:hanging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7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3561,00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7" w:right="-108" w:hanging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69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60" w:hRule="atLeast"/>
        </w:trPr>
        <w:tc>
          <w:tcPr>
            <w:tcW w:w="99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trike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7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3561,00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7" w:right="-108" w:hanging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7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7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3561,00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7" w:right="-108" w:hanging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69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footerReference w:type="default" r:id="rId3"/>
          <w:type w:val="nextPage"/>
          <w:pgSz w:orient="landscape" w:w="16838" w:h="11906"/>
          <w:pgMar w:left="1134" w:right="1134" w:header="0" w:top="1560" w:footer="709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Раздел 7.  </w:t>
      </w:r>
      <w:r>
        <w:rPr>
          <w:rFonts w:cs="Times New Roman" w:ascii="Times New Roman" w:hAnsi="Times New Roman"/>
          <w:b/>
          <w:bCs/>
          <w:color w:val="000000"/>
          <w:spacing w:val="2"/>
          <w:sz w:val="28"/>
          <w:szCs w:val="28"/>
          <w:shd w:fill="FFFFFF" w:val="clear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Расчет учреждений культурно-бытового обслуживания населения </w:t>
      </w:r>
      <w:r>
        <w:rPr>
          <w:rFonts w:cs="Times New Roman" w:ascii="Times New Roman" w:hAnsi="Times New Roman"/>
          <w:b/>
          <w:sz w:val="24"/>
          <w:szCs w:val="24"/>
        </w:rPr>
        <w:t>Новонадеждинского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сельского поселения на расчетный срок</w:t>
      </w:r>
    </w:p>
    <w:tbl>
      <w:tblPr>
        <w:tblW w:w="93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58"/>
        <w:gridCol w:w="2575"/>
        <w:gridCol w:w="1135"/>
        <w:gridCol w:w="2146"/>
        <w:gridCol w:w="1011"/>
        <w:gridCol w:w="1072"/>
        <w:gridCol w:w="893"/>
      </w:tblGrid>
      <w:tr>
        <w:trPr>
          <w:tblHeader w:val="true"/>
          <w:trHeight w:val="20" w:hRule="atLeast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89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Принятые нормативы (Нормативы градостроительного проектирования Волгоградской области,</w:t>
              <w:br/>
              <w:t>СНиП 2.07.01.89*)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Норма-тивная потреб-ность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</w:tr>
      <w:tr>
        <w:trPr>
          <w:tblHeader w:val="true"/>
          <w:trHeight w:val="1405" w:hRule="atLeast"/>
        </w:trPr>
        <w:tc>
          <w:tcPr>
            <w:tcW w:w="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требуется запроектировать</w:t>
            </w:r>
          </w:p>
        </w:tc>
      </w:tr>
      <w:tr>
        <w:trPr>
          <w:trHeight w:val="397" w:hRule="atLeast"/>
        </w:trPr>
        <w:tc>
          <w:tcPr>
            <w:tcW w:w="939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DDDD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Учреждения образования</w:t>
            </w:r>
          </w:p>
        </w:tc>
      </w:tr>
      <w:tr>
        <w:trPr>
          <w:trHeight w:val="20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1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 по демографии с учетом уровня обеспеченности детей дошкольными учреждениями для ориентировочных расчетов 28 мест на 1 тыс.чел.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___</w:t>
            </w:r>
          </w:p>
        </w:tc>
      </w:tr>
      <w:tr>
        <w:trPr>
          <w:trHeight w:val="20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1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 по демографии с учетом уровня охвата школьников для ориентировочных расчетов 111 мест на 1 тыс.чел.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___</w:t>
            </w:r>
          </w:p>
        </w:tc>
      </w:tr>
      <w:tr>
        <w:trPr>
          <w:trHeight w:val="397" w:hRule="atLeast"/>
        </w:trPr>
        <w:tc>
          <w:tcPr>
            <w:tcW w:w="9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DDDD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Учреждения здравоохранения</w:t>
            </w:r>
          </w:p>
        </w:tc>
      </w:tr>
      <w:tr>
        <w:trPr>
          <w:trHeight w:val="2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1посещение в смену</w:t>
            </w:r>
          </w:p>
        </w:tc>
        <w:tc>
          <w:tcPr>
            <w:tcW w:w="214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18,1 норматив на 1 тыс.чел.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>
        <w:trPr>
          <w:trHeight w:val="397" w:hRule="atLeast"/>
        </w:trPr>
        <w:tc>
          <w:tcPr>
            <w:tcW w:w="9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DDDD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Учреждения социального обслуживания населения</w:t>
            </w:r>
          </w:p>
        </w:tc>
      </w:tr>
      <w:tr>
        <w:trPr>
          <w:trHeight w:val="20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____</w:t>
            </w: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____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___</w:t>
            </w:r>
          </w:p>
        </w:tc>
      </w:tr>
      <w:tr>
        <w:trPr>
          <w:trHeight w:val="397" w:hRule="atLeast"/>
        </w:trPr>
        <w:tc>
          <w:tcPr>
            <w:tcW w:w="939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DDDD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Учреждения культуры</w:t>
            </w:r>
          </w:p>
        </w:tc>
      </w:tr>
      <w:tr>
        <w:trPr>
          <w:trHeight w:val="20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кв.м общей площади</w:t>
            </w:r>
          </w:p>
        </w:tc>
        <w:tc>
          <w:tcPr>
            <w:tcW w:w="21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 на 1 тыс. населения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300</w:t>
            </w:r>
          </w:p>
        </w:tc>
      </w:tr>
      <w:tr>
        <w:trPr>
          <w:trHeight w:val="20" w:hRule="atLeast"/>
        </w:trPr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ед. хранения</w:t>
            </w:r>
          </w:p>
        </w:tc>
        <w:tc>
          <w:tcPr>
            <w:tcW w:w="21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4,5 на 1 тыс. населения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7,2</w:t>
            </w: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5,2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___</w:t>
            </w:r>
          </w:p>
        </w:tc>
      </w:tr>
      <w:tr>
        <w:trPr>
          <w:trHeight w:val="20" w:hRule="atLeast"/>
        </w:trPr>
        <w:tc>
          <w:tcPr>
            <w:tcW w:w="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1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на 1 тыс. населения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>
        <w:trPr>
          <w:trHeight w:val="160" w:hRule="atLeast"/>
        </w:trPr>
        <w:tc>
          <w:tcPr>
            <w:tcW w:w="9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DDDD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highlight w:val="red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Спортивные сооружения</w:t>
            </w:r>
          </w:p>
        </w:tc>
      </w:tr>
      <w:tr>
        <w:trPr>
          <w:trHeight w:val="20" w:hRule="atLeast"/>
        </w:trPr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Территории плоскостных спортивных сооружений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объект</w:t>
            </w:r>
          </w:p>
        </w:tc>
        <w:tc>
          <w:tcPr>
            <w:tcW w:w="21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0,9 га на 1 объект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939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DDDD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Учреждения торговли и общественного питания</w:t>
            </w:r>
          </w:p>
        </w:tc>
      </w:tr>
      <w:tr>
        <w:trPr>
          <w:trHeight w:val="2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Магазины продовольственных товаров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</w:t>
            </w:r>
            <w:r>
              <w:rPr>
                <w:rFonts w:cs="Times New Roman"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торговой площади</w:t>
            </w:r>
          </w:p>
        </w:tc>
        <w:tc>
          <w:tcPr>
            <w:tcW w:w="21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на 1 тыс. чел.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59</w:t>
            </w:r>
          </w:p>
        </w:tc>
      </w:tr>
      <w:tr>
        <w:trPr>
          <w:trHeight w:val="2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Магазины непродовольственных товаров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</w:t>
            </w:r>
            <w:r>
              <w:rPr>
                <w:rFonts w:cs="Times New Roman"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торговой площади</w:t>
            </w:r>
          </w:p>
        </w:tc>
        <w:tc>
          <w:tcPr>
            <w:tcW w:w="21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 на 1 тыс. чел.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320</w:t>
            </w: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274</w:t>
            </w:r>
          </w:p>
        </w:tc>
      </w:tr>
      <w:tr>
        <w:trPr>
          <w:trHeight w:val="397" w:hRule="atLeast"/>
        </w:trPr>
        <w:tc>
          <w:tcPr>
            <w:tcW w:w="9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DDDD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Учреждения и предприятия бытового и коммунального обслуживания</w:t>
            </w:r>
          </w:p>
        </w:tc>
      </w:tr>
      <w:tr>
        <w:trPr>
          <w:trHeight w:val="2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Предприятия бытового обслуживания, в том числе непосредственного обслуживания населения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рабочее место</w:t>
            </w:r>
          </w:p>
        </w:tc>
        <w:tc>
          <w:tcPr>
            <w:tcW w:w="21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4на 1 тыс. чел.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__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>
        <w:trPr>
          <w:trHeight w:val="2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Кладбище традиционного захоронения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21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1,0 на 1 тыс. чел.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___</w:t>
            </w:r>
          </w:p>
        </w:tc>
      </w:tr>
      <w:tr>
        <w:trPr>
          <w:trHeight w:val="2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Кафе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на поселок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939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DDDD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Административно-деловые и хозяйственные учреждения</w:t>
            </w:r>
          </w:p>
        </w:tc>
      </w:tr>
      <w:tr>
        <w:trPr>
          <w:trHeight w:val="527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Отделения, филиалы банка (операционное место обслуживания вкладчиков)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операционное место</w:t>
            </w:r>
          </w:p>
        </w:tc>
        <w:tc>
          <w:tcPr>
            <w:tcW w:w="21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 на 1 тыс. чел.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объект</w:t>
            </w:r>
          </w:p>
        </w:tc>
        <w:tc>
          <w:tcPr>
            <w:tcW w:w="21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на 0,5 - 6,0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жителей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___</w:t>
            </w:r>
          </w:p>
        </w:tc>
      </w:tr>
    </w:tbl>
    <w:p>
      <w:pPr>
        <w:sectPr>
          <w:footerReference w:type="default" r:id="rId4"/>
          <w:type w:val="nextPage"/>
          <w:pgSz w:w="12240" w:h="15840"/>
          <w:pgMar w:left="1701" w:right="850" w:header="0" w:top="1134" w:footer="72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kern w:val="2"/>
          <w:sz w:val="24"/>
          <w:szCs w:val="24"/>
        </w:rPr>
        <w:t xml:space="preserve">Раздел 8.   </w:t>
      </w: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Оценка эффективности мероприятий Программы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    </w:t>
      </w:r>
      <w:r>
        <w:rPr>
          <w:rFonts w:cs="Times New Roman" w:ascii="Times New Roman" w:hAnsi="Times New Roman"/>
          <w:sz w:val="24"/>
          <w:szCs w:val="24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  позволит достичь следующих показателей социального развития   поселения  в 2027 году по отношению к 2023 году.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За счет активизации предпринимательской деятельности, увеличатся ежегодный 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Раздел 9.    Организация  контроля  над реализацией Программы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       </w:t>
      </w:r>
      <w:r>
        <w:rPr>
          <w:rFonts w:cs="Times New Roman" w:ascii="Times New Roman" w:hAnsi="Times New Roman"/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 Новонадеждинского сельского поселения.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       </w:t>
      </w:r>
      <w:r>
        <w:rPr>
          <w:rFonts w:cs="Times New Roman" w:ascii="Times New Roman" w:hAnsi="Times New Roman"/>
          <w:sz w:val="24"/>
          <w:szCs w:val="24"/>
        </w:rPr>
        <w:t xml:space="preserve">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 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        </w:t>
      </w:r>
      <w:r>
        <w:rPr>
          <w:rFonts w:cs="Times New Roman" w:ascii="Times New Roman" w:hAnsi="Times New Roman"/>
          <w:sz w:val="24"/>
          <w:szCs w:val="24"/>
        </w:rPr>
        <w:t xml:space="preserve">Оперативные функции по реализации Программы осуществляют штатные сотрудники администрации  поселения под руководством главы  сельского поселения.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 поселения осуществляет следующие действия: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-рассматривает и утверждает план мероприятий, объемы их финансирования и сроки реализации;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-контроль над выполнением годового плана действий и подготовка отчетов о его выполнении;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-осуществляет руководство по: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реализации мероприятий Программы поселения.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      </w:t>
      </w:r>
      <w:r>
        <w:rPr>
          <w:rFonts w:cs="Times New Roman" w:ascii="Times New Roman" w:hAnsi="Times New Roman"/>
          <w:sz w:val="24"/>
          <w:szCs w:val="24"/>
        </w:rPr>
        <w:t>Специалист администрации поселения осуществляет следующие функции: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-подготовка проектов программ поселения по приоритетным направлениям Программы;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 xml:space="preserve">-формирование бюджетных заявок на выделение средств из муниципального бюджета поселения;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           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Раздел 10.   Механизм обновления Программы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Обновление Программы производится: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-при выявлении новых, необходимых к реализации мероприятий,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-при появлении новых инвестиционных проектов, особо значимых для территории;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Раздел 11. Заключение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 поселения.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Ожидаемые результаты: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 Проведение уличного освещения обеспечит устойчивое энергоснабжение поселения; 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  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  Привлечения внебюджетных инвестиций в экономику поселения;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  Повышения благоустройства поселения;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  Формирования современного привлекательного имиджа поселения;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  Устойчивое развитие социальной инфраструктуры поселения.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Реализация Программы позволит: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повысить качество жизни жителей  сельского поселения;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>
      <w:pPr>
        <w:sectPr>
          <w:footerReference w:type="default" r:id="rId5"/>
          <w:type w:val="nextPage"/>
          <w:pgSz w:w="12240" w:h="15840"/>
          <w:pgMar w:left="1701" w:right="851" w:header="0" w:top="1134" w:footer="720" w:bottom="1134" w:gutter="0"/>
          <w:pgNumType w:fmt="decimal"/>
          <w:formProt w:val="false"/>
          <w:textDirection w:val="lrTb"/>
          <w:docGrid w:type="default" w:linePitch="299" w:charSpace="0"/>
        </w:sect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Переход к управлению 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/>
      </w:r>
    </w:p>
    <w:sectPr>
      <w:footerReference w:type="default" r:id="rId6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  <w:p>
    <w:pPr>
      <w:pStyle w:val="Style26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  <w:p>
    <w:pPr>
      <w:pStyle w:val="Style26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15</w:t>
    </w:r>
    <w:r>
      <w:rPr/>
      <w:fldChar w:fldCharType="end"/>
    </w:r>
  </w:p>
  <w:p>
    <w:pPr>
      <w:pStyle w:val="Style26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17</w:t>
    </w:r>
    <w:r>
      <w:rPr/>
      <w:fldChar w:fldCharType="end"/>
    </w:r>
  </w:p>
  <w:p>
    <w:pPr>
      <w:pStyle w:val="Style26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18</w:t>
    </w:r>
    <w:r>
      <w:rPr/>
      <w:fldChar w:fldCharType="end"/>
    </w:r>
  </w:p>
  <w:p>
    <w:pPr>
      <w:pStyle w:val="Style26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semiHidden="0" w:unhideWhenUsed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1e20"/>
    <w:pPr>
      <w:widowControl/>
      <w:suppressAutoHyphens w:val="true"/>
      <w:bidi w:val="0"/>
      <w:spacing w:lineRule="auto" w:line="276" w:before="0" w:after="0"/>
      <w:jc w:val="center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aa3cd7"/>
    <w:pPr>
      <w:spacing w:lineRule="auto" w:line="240"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Normal"/>
    <w:link w:val="20"/>
    <w:uiPriority w:val="99"/>
    <w:qFormat/>
    <w:rsid w:val="00aa3cd7"/>
    <w:pPr>
      <w:spacing w:lineRule="auto" w:line="240"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link w:val="30"/>
    <w:uiPriority w:val="99"/>
    <w:qFormat/>
    <w:rsid w:val="00aa3cd7"/>
    <w:pPr>
      <w:spacing w:lineRule="auto" w:line="240"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Normal"/>
    <w:link w:val="40"/>
    <w:uiPriority w:val="99"/>
    <w:qFormat/>
    <w:rsid w:val="00aa3cd7"/>
    <w:pPr>
      <w:spacing w:lineRule="auto" w:line="240" w:beforeAutospacing="1" w:afterAutospacing="1"/>
      <w:outlineLvl w:val="3"/>
    </w:pPr>
    <w:rPr>
      <w:b/>
      <w:bCs/>
      <w:sz w:val="24"/>
      <w:szCs w:val="24"/>
    </w:rPr>
  </w:style>
  <w:style w:type="paragraph" w:styleId="9">
    <w:name w:val="Heading 9"/>
    <w:basedOn w:val="Normal"/>
    <w:link w:val="90"/>
    <w:uiPriority w:val="99"/>
    <w:qFormat/>
    <w:rsid w:val="00aa3cd7"/>
    <w:pPr>
      <w:spacing w:lineRule="auto" w:line="240" w:beforeAutospacing="1" w:afterAutospacing="1"/>
      <w:outlineLvl w:val="8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aa3cd7"/>
    <w:rPr>
      <w:rFonts w:ascii="Times New Roman" w:hAnsi="Times New Roman" w:cs="Times New Roman"/>
      <w:b/>
      <w:bCs/>
      <w:kern w:val="2"/>
      <w:sz w:val="48"/>
      <w:szCs w:val="48"/>
    </w:rPr>
  </w:style>
  <w:style w:type="character" w:styleId="21" w:customStyle="1">
    <w:name w:val="Заголовок 2 Знак"/>
    <w:link w:val="2"/>
    <w:uiPriority w:val="99"/>
    <w:qFormat/>
    <w:locked/>
    <w:rsid w:val="00aa3cd7"/>
    <w:rPr>
      <w:rFonts w:ascii="Times New Roman" w:hAnsi="Times New Roman" w:cs="Times New Roman"/>
      <w:b/>
      <w:bCs/>
      <w:sz w:val="36"/>
      <w:szCs w:val="36"/>
    </w:rPr>
  </w:style>
  <w:style w:type="character" w:styleId="31" w:customStyle="1">
    <w:name w:val="Заголовок 3 Знак"/>
    <w:link w:val="3"/>
    <w:uiPriority w:val="99"/>
    <w:qFormat/>
    <w:locked/>
    <w:rsid w:val="00aa3cd7"/>
    <w:rPr>
      <w:rFonts w:ascii="Times New Roman" w:hAnsi="Times New Roman" w:cs="Times New Roman"/>
      <w:b/>
      <w:bCs/>
      <w:sz w:val="27"/>
      <w:szCs w:val="27"/>
    </w:rPr>
  </w:style>
  <w:style w:type="character" w:styleId="41" w:customStyle="1">
    <w:name w:val="Заголовок 4 Знак"/>
    <w:link w:val="4"/>
    <w:uiPriority w:val="99"/>
    <w:qFormat/>
    <w:locked/>
    <w:rsid w:val="00aa3cd7"/>
    <w:rPr>
      <w:rFonts w:ascii="Times New Roman" w:hAnsi="Times New Roman" w:cs="Times New Roman"/>
      <w:b/>
      <w:bCs/>
      <w:sz w:val="24"/>
      <w:szCs w:val="24"/>
    </w:rPr>
  </w:style>
  <w:style w:type="character" w:styleId="91" w:customStyle="1">
    <w:name w:val="Заголовок 9 Знак"/>
    <w:link w:val="9"/>
    <w:uiPriority w:val="99"/>
    <w:qFormat/>
    <w:locked/>
    <w:rsid w:val="00aa3cd7"/>
    <w:rPr>
      <w:rFonts w:ascii="Times New Roman" w:hAnsi="Times New Roman" w:cs="Times New Roman"/>
      <w:sz w:val="24"/>
      <w:szCs w:val="24"/>
    </w:rPr>
  </w:style>
  <w:style w:type="character" w:styleId="Style9" w:customStyle="1">
    <w:name w:val="Текст выноски Знак"/>
    <w:link w:val="a3"/>
    <w:uiPriority w:val="99"/>
    <w:semiHidden/>
    <w:qFormat/>
    <w:locked/>
    <w:rsid w:val="00dd60d3"/>
    <w:rPr>
      <w:rFonts w:ascii="Tahoma" w:hAnsi="Tahoma" w:cs="Tahoma"/>
      <w:sz w:val="16"/>
      <w:szCs w:val="16"/>
    </w:rPr>
  </w:style>
  <w:style w:type="character" w:styleId="BodyTextIndent2Char" w:customStyle="1">
    <w:name w:val="Body Text Indent 2 Char"/>
    <w:uiPriority w:val="99"/>
    <w:semiHidden/>
    <w:qFormat/>
    <w:locked/>
    <w:rsid w:val="00aa3cd7"/>
    <w:rPr>
      <w:rFonts w:ascii="Times New Roman" w:hAnsi="Times New Roman" w:cs="Times New Roman"/>
      <w:sz w:val="24"/>
      <w:szCs w:val="24"/>
    </w:rPr>
  </w:style>
  <w:style w:type="character" w:styleId="22" w:customStyle="1">
    <w:name w:val="Основной текст с отступом 2 Знак"/>
    <w:basedOn w:val="DefaultParagraphFont"/>
    <w:link w:val="21"/>
    <w:uiPriority w:val="99"/>
    <w:semiHidden/>
    <w:qFormat/>
    <w:locked/>
    <w:rsid w:val="009a0fd4"/>
    <w:rPr/>
  </w:style>
  <w:style w:type="character" w:styleId="BodyTextIndentChar" w:customStyle="1">
    <w:name w:val="Body Text Indent Char"/>
    <w:uiPriority w:val="99"/>
    <w:semiHidden/>
    <w:qFormat/>
    <w:locked/>
    <w:rsid w:val="00aa3cd7"/>
    <w:rPr>
      <w:rFonts w:ascii="Times New Roman" w:hAnsi="Times New Roman" w:cs="Times New Roman"/>
      <w:sz w:val="24"/>
      <w:szCs w:val="24"/>
    </w:rPr>
  </w:style>
  <w:style w:type="character" w:styleId="Style10" w:customStyle="1">
    <w:name w:val="Основной текст с отступом Знак"/>
    <w:basedOn w:val="DefaultParagraphFont"/>
    <w:link w:val="a5"/>
    <w:uiPriority w:val="99"/>
    <w:semiHidden/>
    <w:qFormat/>
    <w:locked/>
    <w:rsid w:val="009a0fd4"/>
    <w:rPr/>
  </w:style>
  <w:style w:type="character" w:styleId="SubtitleChar" w:customStyle="1">
    <w:name w:val="Subtitle Char"/>
    <w:uiPriority w:val="99"/>
    <w:qFormat/>
    <w:locked/>
    <w:rsid w:val="00aa3cd7"/>
    <w:rPr>
      <w:rFonts w:ascii="Times New Roman" w:hAnsi="Times New Roman" w:cs="Times New Roman"/>
      <w:sz w:val="24"/>
      <w:szCs w:val="24"/>
    </w:rPr>
  </w:style>
  <w:style w:type="character" w:styleId="Style11" w:customStyle="1">
    <w:name w:val="Подзаголовок Знак"/>
    <w:link w:val="a7"/>
    <w:uiPriority w:val="99"/>
    <w:qFormat/>
    <w:locked/>
    <w:rsid w:val="009a0fd4"/>
    <w:rPr>
      <w:rFonts w:ascii="Cambria" w:hAnsi="Cambria" w:cs="Cambria"/>
      <w:sz w:val="24"/>
      <w:szCs w:val="24"/>
    </w:rPr>
  </w:style>
  <w:style w:type="character" w:styleId="BodyTextChar" w:customStyle="1">
    <w:name w:val="Body Text Char"/>
    <w:uiPriority w:val="99"/>
    <w:semiHidden/>
    <w:qFormat/>
    <w:locked/>
    <w:rsid w:val="00aa3cd7"/>
    <w:rPr>
      <w:rFonts w:ascii="Times New Roman" w:hAnsi="Times New Roman" w:cs="Times New Roman"/>
      <w:sz w:val="24"/>
      <w:szCs w:val="24"/>
    </w:rPr>
  </w:style>
  <w:style w:type="character" w:styleId="Style12" w:customStyle="1">
    <w:name w:val="Основной текст Знак"/>
    <w:basedOn w:val="DefaultParagraphFont"/>
    <w:link w:val="a9"/>
    <w:uiPriority w:val="99"/>
    <w:semiHidden/>
    <w:qFormat/>
    <w:locked/>
    <w:rsid w:val="009a0fd4"/>
    <w:rPr/>
  </w:style>
  <w:style w:type="character" w:styleId="BodyText2Char" w:customStyle="1">
    <w:name w:val="Body Text 2 Char"/>
    <w:uiPriority w:val="99"/>
    <w:qFormat/>
    <w:locked/>
    <w:rsid w:val="00aa3cd7"/>
    <w:rPr>
      <w:rFonts w:ascii="Times New Roman" w:hAnsi="Times New Roman" w:cs="Times New Roman"/>
      <w:sz w:val="24"/>
      <w:szCs w:val="24"/>
    </w:rPr>
  </w:style>
  <w:style w:type="character" w:styleId="23" w:customStyle="1">
    <w:name w:val="Основной текст 2 Знак"/>
    <w:basedOn w:val="DefaultParagraphFont"/>
    <w:link w:val="23"/>
    <w:uiPriority w:val="99"/>
    <w:semiHidden/>
    <w:qFormat/>
    <w:locked/>
    <w:rsid w:val="009a0fd4"/>
    <w:rPr/>
  </w:style>
  <w:style w:type="character" w:styleId="Style13">
    <w:name w:val="Интернет-ссылка"/>
    <w:uiPriority w:val="99"/>
    <w:semiHidden/>
    <w:rsid w:val="003c7888"/>
    <w:rPr>
      <w:color w:val="000000"/>
      <w:u w:val="single"/>
    </w:rPr>
  </w:style>
  <w:style w:type="character" w:styleId="Style14" w:customStyle="1">
    <w:name w:val="Верхний колонтитул Знак"/>
    <w:basedOn w:val="DefaultParagraphFont"/>
    <w:link w:val="ad"/>
    <w:uiPriority w:val="99"/>
    <w:semiHidden/>
    <w:qFormat/>
    <w:locked/>
    <w:rsid w:val="00721f5f"/>
    <w:rPr/>
  </w:style>
  <w:style w:type="character" w:styleId="Style15" w:customStyle="1">
    <w:name w:val="Нижний колонтитул Знак"/>
    <w:basedOn w:val="DefaultParagraphFont"/>
    <w:link w:val="af"/>
    <w:uiPriority w:val="99"/>
    <w:qFormat/>
    <w:locked/>
    <w:rsid w:val="00721f5f"/>
    <w:rPr/>
  </w:style>
  <w:style w:type="character" w:styleId="Style16" w:customStyle="1">
    <w:name w:val="Стиль ПМД Знак"/>
    <w:link w:val="af2"/>
    <w:uiPriority w:val="99"/>
    <w:qFormat/>
    <w:locked/>
    <w:rsid w:val="0016522c"/>
    <w:rPr>
      <w:rFonts w:ascii="Times New Roman" w:hAnsi="Times New Roman" w:cs="Times New Roman"/>
      <w:sz w:val="24"/>
      <w:szCs w:val="24"/>
    </w:rPr>
  </w:style>
  <w:style w:type="character" w:styleId="FontStyle14" w:customStyle="1">
    <w:name w:val="Font Style14"/>
    <w:uiPriority w:val="99"/>
    <w:qFormat/>
    <w:rsid w:val="0016522c"/>
    <w:rPr>
      <w:rFonts w:ascii="Times New Roman" w:hAnsi="Times New Roman" w:cs="Times New Roman"/>
      <w:color w:val="000000"/>
      <w:sz w:val="20"/>
      <w:szCs w:val="20"/>
    </w:rPr>
  </w:style>
  <w:style w:type="character" w:styleId="FontStyle12" w:customStyle="1">
    <w:name w:val="Font Style12"/>
    <w:uiPriority w:val="99"/>
    <w:qFormat/>
    <w:rsid w:val="0016522c"/>
    <w:rPr>
      <w:rFonts w:ascii="Times New Roman" w:hAnsi="Times New Roman" w:cs="Times New Roman"/>
      <w:color w:val="000000"/>
      <w:sz w:val="18"/>
      <w:szCs w:val="18"/>
    </w:rPr>
  </w:style>
  <w:style w:type="character" w:styleId="FontStyle11" w:customStyle="1">
    <w:name w:val="Font Style11"/>
    <w:uiPriority w:val="99"/>
    <w:qFormat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FontStyle13" w:customStyle="1">
    <w:name w:val="Font Style13"/>
    <w:uiPriority w:val="99"/>
    <w:qFormat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FontStyle15" w:customStyle="1">
    <w:name w:val="Font Style15"/>
    <w:uiPriority w:val="99"/>
    <w:qFormat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styleId="FontStyle16" w:customStyle="1">
    <w:name w:val="Font Style16"/>
    <w:uiPriority w:val="99"/>
    <w:qFormat/>
    <w:rsid w:val="0016522c"/>
    <w:rPr>
      <w:rFonts w:ascii="Times New Roman" w:hAnsi="Times New Roman" w:cs="Times New Roman"/>
      <w:color w:val="000000"/>
      <w:sz w:val="18"/>
      <w:szCs w:val="18"/>
    </w:rPr>
  </w:style>
  <w:style w:type="character" w:styleId="FontStyle17" w:customStyle="1">
    <w:name w:val="Font Style17"/>
    <w:uiPriority w:val="99"/>
    <w:qFormat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FontStyle18" w:customStyle="1">
    <w:name w:val="Font Style18"/>
    <w:uiPriority w:val="99"/>
    <w:qFormat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FontStyle19" w:customStyle="1">
    <w:name w:val="Font Style19"/>
    <w:uiPriority w:val="99"/>
    <w:qFormat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Appleconvertedspace" w:customStyle="1">
    <w:name w:val="apple-converted-space"/>
    <w:basedOn w:val="DefaultParagraphFont"/>
    <w:uiPriority w:val="99"/>
    <w:qFormat/>
    <w:rsid w:val="0016522c"/>
    <w:rPr/>
  </w:style>
  <w:style w:type="character" w:styleId="FontStyle73" w:customStyle="1">
    <w:name w:val="Font Style73"/>
    <w:uiPriority w:val="99"/>
    <w:qFormat/>
    <w:rsid w:val="00544f70"/>
    <w:rPr>
      <w:rFonts w:ascii="Times New Roman" w:hAnsi="Times New Roman" w:cs="Times New Roman"/>
      <w:sz w:val="22"/>
      <w:szCs w:val="22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a"/>
    <w:uiPriority w:val="99"/>
    <w:semiHidden/>
    <w:rsid w:val="00aa3cd7"/>
    <w:pPr>
      <w:spacing w:lineRule="auto" w:line="240" w:beforeAutospacing="1" w:afterAutospacing="1"/>
    </w:pPr>
    <w:rPr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dd60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2"/>
    <w:uiPriority w:val="99"/>
    <w:semiHidden/>
    <w:qFormat/>
    <w:rsid w:val="00aa3cd7"/>
    <w:pPr>
      <w:spacing w:lineRule="auto" w:line="240" w:beforeAutospacing="1" w:afterAutospacing="1"/>
    </w:pPr>
    <w:rPr>
      <w:sz w:val="24"/>
      <w:szCs w:val="24"/>
    </w:rPr>
  </w:style>
  <w:style w:type="paragraph" w:styleId="Style22">
    <w:name w:val="Body Text Indent"/>
    <w:basedOn w:val="Normal"/>
    <w:link w:val="a6"/>
    <w:uiPriority w:val="99"/>
    <w:semiHidden/>
    <w:rsid w:val="00aa3cd7"/>
    <w:pPr>
      <w:spacing w:lineRule="auto" w:line="240" w:beforeAutospacing="1" w:afterAutospacing="1"/>
    </w:pPr>
    <w:rPr>
      <w:sz w:val="24"/>
      <w:szCs w:val="24"/>
    </w:rPr>
  </w:style>
  <w:style w:type="paragraph" w:styleId="Style23">
    <w:name w:val="Subtitle"/>
    <w:basedOn w:val="Normal"/>
    <w:link w:val="a8"/>
    <w:uiPriority w:val="99"/>
    <w:qFormat/>
    <w:rsid w:val="00aa3cd7"/>
    <w:pPr>
      <w:spacing w:lineRule="auto" w:line="240" w:beforeAutospacing="1" w:afterAutospacing="1"/>
    </w:pPr>
    <w:rPr>
      <w:sz w:val="24"/>
      <w:szCs w:val="24"/>
    </w:rPr>
  </w:style>
  <w:style w:type="paragraph" w:styleId="BodyText2">
    <w:name w:val="Body Text 2"/>
    <w:basedOn w:val="Normal"/>
    <w:link w:val="24"/>
    <w:uiPriority w:val="99"/>
    <w:qFormat/>
    <w:rsid w:val="00aa3cd7"/>
    <w:pPr>
      <w:spacing w:lineRule="auto" w:line="240" w:beforeAutospacing="1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445ead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e"/>
    <w:uiPriority w:val="99"/>
    <w:semiHidden/>
    <w:rsid w:val="00721f5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f0"/>
    <w:uiPriority w:val="99"/>
    <w:rsid w:val="00721f5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nformat" w:customStyle="1">
    <w:name w:val="ConsPlusNonformat"/>
    <w:uiPriority w:val="99"/>
    <w:qFormat/>
    <w:rsid w:val="0016522c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16522c"/>
    <w:pPr>
      <w:spacing w:lineRule="auto" w:line="240" w:before="0" w:after="0"/>
      <w:ind w:left="720" w:hanging="0"/>
    </w:pPr>
    <w:rPr>
      <w:sz w:val="24"/>
      <w:szCs w:val="24"/>
      <w:lang w:val="en-US" w:eastAsia="en-US"/>
    </w:rPr>
  </w:style>
  <w:style w:type="paragraph" w:styleId="Style27" w:customStyle="1">
    <w:name w:val="Стиль ПМД"/>
    <w:basedOn w:val="BodyText2"/>
    <w:link w:val="af3"/>
    <w:uiPriority w:val="99"/>
    <w:qFormat/>
    <w:rsid w:val="0016522c"/>
    <w:pPr>
      <w:suppressAutoHyphens w:val="true"/>
      <w:spacing w:lineRule="atLeast" w:line="20" w:beforeAutospacing="0" w:before="0" w:afterAutospacing="0" w:after="0"/>
      <w:ind w:firstLine="709"/>
      <w:jc w:val="both"/>
    </w:pPr>
    <w:rPr>
      <w:rFonts w:cs="Times New Roman"/>
    </w:rPr>
  </w:style>
  <w:style w:type="paragraph" w:styleId="Style41" w:customStyle="1">
    <w:name w:val="Style4"/>
    <w:basedOn w:val="Normal"/>
    <w:uiPriority w:val="99"/>
    <w:qFormat/>
    <w:rsid w:val="0016522c"/>
    <w:pPr>
      <w:widowControl w:val="false"/>
      <w:spacing w:lineRule="exact" w:line="262" w:before="0" w:after="0"/>
      <w:ind w:firstLine="566"/>
      <w:jc w:val="both"/>
    </w:pPr>
    <w:rPr>
      <w:sz w:val="24"/>
      <w:szCs w:val="24"/>
    </w:rPr>
  </w:style>
  <w:style w:type="paragraph" w:styleId="Style110" w:customStyle="1">
    <w:name w:val="Style1"/>
    <w:basedOn w:val="Normal"/>
    <w:uiPriority w:val="99"/>
    <w:qFormat/>
    <w:rsid w:val="0016522c"/>
    <w:pPr>
      <w:widowControl w:val="false"/>
      <w:spacing w:lineRule="exact" w:line="408" w:before="0" w:after="0"/>
      <w:ind w:hanging="298"/>
    </w:pPr>
    <w:rPr>
      <w:sz w:val="24"/>
      <w:szCs w:val="24"/>
    </w:rPr>
  </w:style>
  <w:style w:type="paragraph" w:styleId="Style28" w:customStyle="1">
    <w:name w:val="Style2"/>
    <w:basedOn w:val="Normal"/>
    <w:uiPriority w:val="99"/>
    <w:qFormat/>
    <w:rsid w:val="0016522c"/>
    <w:pPr>
      <w:widowControl w:val="false"/>
      <w:spacing w:lineRule="auto" w:line="240" w:before="0" w:after="0"/>
    </w:pPr>
    <w:rPr>
      <w:sz w:val="24"/>
      <w:szCs w:val="24"/>
    </w:rPr>
  </w:style>
  <w:style w:type="paragraph" w:styleId="Style51" w:customStyle="1">
    <w:name w:val="Style5"/>
    <w:basedOn w:val="Normal"/>
    <w:uiPriority w:val="99"/>
    <w:qFormat/>
    <w:rsid w:val="0016522c"/>
    <w:pPr>
      <w:widowControl w:val="false"/>
      <w:spacing w:lineRule="exact" w:line="230" w:before="0" w:after="0"/>
    </w:pPr>
    <w:rPr>
      <w:sz w:val="24"/>
      <w:szCs w:val="24"/>
    </w:rPr>
  </w:style>
  <w:style w:type="paragraph" w:styleId="Style31" w:customStyle="1">
    <w:name w:val="Style3"/>
    <w:basedOn w:val="Normal"/>
    <w:uiPriority w:val="99"/>
    <w:qFormat/>
    <w:rsid w:val="0016522c"/>
    <w:pPr>
      <w:widowControl w:val="false"/>
      <w:spacing w:lineRule="auto" w:line="240" w:before="0" w:after="0"/>
    </w:pPr>
    <w:rPr>
      <w:sz w:val="24"/>
      <w:szCs w:val="24"/>
    </w:rPr>
  </w:style>
  <w:style w:type="paragraph" w:styleId="Style61" w:customStyle="1">
    <w:name w:val="Style6"/>
    <w:basedOn w:val="Normal"/>
    <w:uiPriority w:val="99"/>
    <w:qFormat/>
    <w:rsid w:val="0016522c"/>
    <w:pPr>
      <w:widowControl w:val="false"/>
      <w:spacing w:lineRule="auto" w:line="240" w:before="0" w:after="0"/>
    </w:pPr>
    <w:rPr>
      <w:sz w:val="24"/>
      <w:szCs w:val="24"/>
    </w:rPr>
  </w:style>
  <w:style w:type="paragraph" w:styleId="Style81" w:customStyle="1">
    <w:name w:val="Style8"/>
    <w:basedOn w:val="Normal"/>
    <w:uiPriority w:val="99"/>
    <w:qFormat/>
    <w:rsid w:val="0016522c"/>
    <w:pPr>
      <w:widowControl w:val="false"/>
      <w:spacing w:lineRule="auto" w:line="240" w:before="0" w:after="0"/>
    </w:pPr>
    <w:rPr>
      <w:sz w:val="24"/>
      <w:szCs w:val="24"/>
    </w:rPr>
  </w:style>
  <w:style w:type="paragraph" w:styleId="Style91" w:customStyle="1">
    <w:name w:val="Style9"/>
    <w:basedOn w:val="Normal"/>
    <w:uiPriority w:val="99"/>
    <w:qFormat/>
    <w:rsid w:val="0016522c"/>
    <w:pPr>
      <w:widowControl w:val="false"/>
      <w:spacing w:lineRule="auto" w:line="240" w:before="0" w:after="0"/>
    </w:pPr>
    <w:rPr>
      <w:sz w:val="24"/>
      <w:szCs w:val="24"/>
    </w:rPr>
  </w:style>
  <w:style w:type="paragraph" w:styleId="Style101" w:customStyle="1">
    <w:name w:val="Style10"/>
    <w:basedOn w:val="Normal"/>
    <w:uiPriority w:val="99"/>
    <w:qFormat/>
    <w:rsid w:val="0016522c"/>
    <w:pPr>
      <w:widowControl w:val="false"/>
      <w:spacing w:lineRule="exact" w:line="226" w:before="0" w:after="0"/>
    </w:pPr>
    <w:rPr>
      <w:sz w:val="24"/>
      <w:szCs w:val="24"/>
    </w:rPr>
  </w:style>
  <w:style w:type="paragraph" w:styleId="Style71" w:customStyle="1">
    <w:name w:val="Style7"/>
    <w:basedOn w:val="Normal"/>
    <w:uiPriority w:val="99"/>
    <w:qFormat/>
    <w:rsid w:val="0016522c"/>
    <w:pPr>
      <w:widowControl w:val="false"/>
      <w:spacing w:lineRule="auto" w:line="240" w:before="0" w:after="0"/>
    </w:pPr>
    <w:rPr>
      <w:sz w:val="24"/>
      <w:szCs w:val="24"/>
    </w:rPr>
  </w:style>
  <w:style w:type="paragraph" w:styleId="ConsPlusNormal" w:customStyle="1">
    <w:name w:val="ConsPlusNormal"/>
    <w:uiPriority w:val="99"/>
    <w:qFormat/>
    <w:rsid w:val="0016522c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F32D1-E055-49EA-AD65-EA3A0393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LibreOffice/7.1.4.2$Windows_X86_64 LibreOffice_project/a529a4fab45b75fefc5b6226684193eb000654f6</Application>
  <AppVersion>15.0000</AppVersion>
  <Pages>18</Pages>
  <Words>3470</Words>
  <Characters>26860</Characters>
  <CharactersWithSpaces>30769</CharactersWithSpaces>
  <Paragraphs>457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2022-11-11T07:40:00Z</dcterms:created>
  <dc:creator>User</dc:creator>
  <dc:description/>
  <dc:language>ru-RU</dc:language>
  <cp:lastModifiedBy/>
  <cp:lastPrinted>2023-01-10T10:08:01Z</cp:lastPrinted>
  <dcterms:modified xsi:type="dcterms:W3CDTF">2023-01-10T10:08:08Z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