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text" w:tblpXSpec="left" w:vertAnchor="text" w:tblpY="1" w:leftFromText="180" w:topFromText="0" w:rightFromText="180" w:bottomFromText="0"/>
        <w:tblW w:w="10181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1515"/>
        <w:gridCol w:w="639"/>
        <w:gridCol w:w="1917"/>
        <w:gridCol w:w="567"/>
        <w:gridCol w:w="5078"/>
      </w:tblGrid>
      <w:tr>
        <w:tblPrEx/>
        <w:trPr>
          <w:trHeight w:val="38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16" w:type="dxa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bookmarkStart w:id="0" w:name="Par66"/>
            <w:r>
              <w:rPr>
                <w:b w:val="0"/>
                <w:bCs w:val="0"/>
              </w:rPr>
            </w:r>
            <w:bookmarkEnd w:id="0"/>
            <w:r>
              <w:rPr>
                <w:b w:val="0"/>
                <w:bCs w:val="0"/>
                <w:sz w:val="28"/>
              </w:rPr>
              <w:t xml:space="preserve">Ходатайство об установлении публичного сервитута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trHeight w:val="63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1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16" w:type="dxa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 xml:space="preserve">Министерство энергетики Российской Федерации</w:t>
            </w:r>
            <w:r>
              <w:rPr>
                <w:b/>
                <w:bCs/>
                <w:sz w:val="26"/>
                <w:szCs w:val="26"/>
                <w:u w:val="single"/>
              </w:rPr>
            </w:r>
            <w:r>
              <w:rPr>
                <w:b/>
                <w:bCs/>
                <w:sz w:val="26"/>
                <w:szCs w:val="26"/>
                <w:u w:val="single"/>
              </w:rPr>
            </w:r>
          </w:p>
          <w:p>
            <w:pPr>
              <w:pStyle w:val="913"/>
              <w:contextualSpacing/>
              <w:ind w:firstLine="102"/>
              <w:jc w:val="center"/>
              <w:rPr>
                <w:b w:val="0"/>
                <w:bCs w:val="0"/>
                <w:i/>
              </w:rPr>
            </w:pPr>
            <w:r>
              <w:rPr>
                <w:b w:val="0"/>
                <w:bCs w:val="0"/>
                <w:i/>
                <w:sz w:val="22"/>
              </w:rPr>
              <w:t xml:space="preserve">(наименование органа, принимающего решение об установлении публичного сервитута)</w:t>
            </w:r>
            <w:r>
              <w:rPr>
                <w:b w:val="0"/>
                <w:bCs w:val="0"/>
                <w:i/>
              </w:rPr>
            </w:r>
            <w:r>
              <w:rPr>
                <w:b w:val="0"/>
                <w:bCs w:val="0"/>
                <w:i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bookmarkStart w:id="1" w:name="Par70"/>
            <w:r>
              <w:rPr>
                <w:b w:val="0"/>
                <w:bCs w:val="0"/>
              </w:rPr>
            </w:r>
            <w:bookmarkEnd w:id="1"/>
            <w:r>
              <w:rPr>
                <w:b w:val="0"/>
                <w:bCs w:val="0"/>
              </w:rPr>
              <w:t xml:space="preserve">2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16" w:type="dxa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Сведения о лице, представившем ходатайство об установлении публичного сервитута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13"/>
              <w:contextualSpacing/>
              <w:ind w:firstLine="10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(далее - заявитель):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2.1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71" w:type="dxa"/>
            <w:textDirection w:val="lrTb"/>
            <w:noWrap w:val="false"/>
          </w:tcPr>
          <w:p>
            <w:pPr>
              <w:pStyle w:val="913"/>
              <w:ind w:firstLine="10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Полное наименование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45" w:type="dxa"/>
            <w:vAlign w:val="center"/>
            <w:textDirection w:val="lrTb"/>
            <w:noWrap w:val="false"/>
          </w:tcPr>
          <w:p>
            <w:pPr>
              <w:pStyle w:val="913"/>
              <w:ind w:firstLine="102"/>
              <w:jc w:val="center"/>
              <w:rPr>
                <w:b w:val="0"/>
                <w:bCs/>
                <w:i/>
              </w:rPr>
            </w:pPr>
            <w:r>
              <w:rPr>
                <w:b w:val="0"/>
                <w:bCs w:val="0"/>
                <w:i/>
                <w:iCs/>
              </w:rPr>
              <w:t xml:space="preserve">Публичное акционерное общество «Газпром»</w:t>
            </w:r>
            <w:r>
              <w:rPr>
                <w:b w:val="0"/>
                <w:bCs w:val="0"/>
                <w:i/>
                <w:iCs/>
              </w:rPr>
            </w:r>
            <w:r>
              <w:rPr>
                <w:b w:val="0"/>
                <w:bCs/>
                <w:i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2.2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71" w:type="dxa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Сокращенное наименование (при наличии)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45" w:type="dxa"/>
            <w:vAlign w:val="center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center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 xml:space="preserve">ПАО «Газпром»</w:t>
            </w:r>
            <w:r>
              <w:rPr>
                <w:b w:val="0"/>
                <w:bCs w:val="0"/>
                <w:i/>
                <w:iCs/>
              </w:rPr>
            </w:r>
            <w:r>
              <w:rPr>
                <w:b w:val="0"/>
                <w:bCs w:val="0"/>
                <w:i/>
                <w:iCs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2.3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71" w:type="dxa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Организационно-правовая форма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45" w:type="dxa"/>
            <w:vAlign w:val="center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center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 xml:space="preserve">Публичное акционерное общество</w:t>
            </w:r>
            <w:r>
              <w:rPr>
                <w:b w:val="0"/>
                <w:bCs w:val="0"/>
                <w:i/>
                <w:iCs/>
              </w:rPr>
            </w:r>
            <w:r>
              <w:rPr>
                <w:b w:val="0"/>
                <w:bCs w:val="0"/>
                <w:i/>
                <w:iCs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2.4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71" w:type="dxa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Почтовый адрес (индекс, субъект РФ, населенный пункт, улица, дом)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45" w:type="dxa"/>
            <w:vAlign w:val="center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center"/>
              <w:rPr>
                <w:b w:val="0"/>
                <w:bCs/>
                <w:i/>
                <w:color w:val="000000" w:themeColor="text1"/>
              </w:rPr>
            </w:pPr>
            <w:r>
              <w:rPr>
                <w:b w:val="0"/>
                <w:bCs w:val="0"/>
                <w:i/>
                <w:iCs/>
                <w:color w:val="000000" w:themeColor="text1"/>
              </w:rPr>
              <w:t xml:space="preserve">БОКС 1255, Санкт-Петербург, 200961</w:t>
            </w:r>
            <w:r>
              <w:rPr>
                <w:b w:val="0"/>
                <w:bCs w:val="0"/>
                <w:i/>
                <w:iCs/>
                <w:color w:val="000000" w:themeColor="text1"/>
              </w:rPr>
            </w:r>
            <w:r>
              <w:rPr>
                <w:b w:val="0"/>
                <w:bCs/>
                <w:i/>
                <w:color w:val="000000" w:themeColor="text1"/>
              </w:rPr>
            </w:r>
          </w:p>
        </w:tc>
      </w:tr>
      <w:tr>
        <w:tblPrEx/>
        <w:trPr>
          <w:trHeight w:val="45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2.5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71" w:type="dxa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Адрес электронной почты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45" w:type="dxa"/>
            <w:vAlign w:val="center"/>
            <w:textDirection w:val="lrTb"/>
            <w:noWrap w:val="false"/>
          </w:tcPr>
          <w:p>
            <w:pPr>
              <w:pStyle w:val="925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6"/>
              </w:rPr>
            </w:pPr>
            <w:r>
              <w:rPr>
                <w:b w:val="0"/>
                <w:bCs w:val="0"/>
                <w:i/>
                <w:iCs/>
                <w:color w:val="000000" w:themeColor="text1"/>
              </w:rPr>
            </w:r>
            <w:hyperlink r:id="rId13" w:tooltip="mailto:gazprom@gazprom.ru" w:history="1">
              <w:r>
                <w:rPr>
                  <w:rFonts w:ascii="Times New Roman" w:hAnsi="Times New Roman" w:eastAsia="PT Astra Serif" w:cs="Times New Roman"/>
                  <w:b w:val="0"/>
                  <w:bCs w:val="0"/>
                  <w:i/>
                  <w:iCs/>
                  <w:color w:val="000000" w:themeColor="text1"/>
                  <w:szCs w:val="26"/>
                </w:rPr>
                <w:t xml:space="preserve">gazprom@gazprom.ru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6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2.6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71" w:type="dxa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ОГРН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45" w:type="dxa"/>
            <w:vAlign w:val="center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center"/>
              <w:rPr>
                <w:b w:val="0"/>
                <w:bCs w:val="0"/>
                <w:i/>
                <w:iCs/>
                <w:color w:val="000000" w:themeColor="text1"/>
              </w:rPr>
            </w:pPr>
            <w:r>
              <w:rPr>
                <w:b w:val="0"/>
                <w:bCs w:val="0"/>
                <w:i/>
                <w:iCs/>
                <w:color w:val="000000" w:themeColor="text1"/>
              </w:rPr>
              <w:t xml:space="preserve">1027700070518</w:t>
            </w:r>
            <w:r>
              <w:rPr>
                <w:b w:val="0"/>
                <w:bCs w:val="0"/>
                <w:i/>
                <w:iCs/>
                <w:color w:val="000000" w:themeColor="text1"/>
              </w:rPr>
            </w:r>
            <w:r>
              <w:rPr>
                <w:b w:val="0"/>
                <w:bCs w:val="0"/>
                <w:i/>
                <w:iCs/>
                <w:color w:val="000000" w:themeColor="text1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2.7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71" w:type="dxa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ИНН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45" w:type="dxa"/>
            <w:vAlign w:val="center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center"/>
              <w:rPr>
                <w:b w:val="0"/>
                <w:bCs w:val="0"/>
                <w:i/>
                <w:iCs/>
                <w:color w:val="000000" w:themeColor="text1"/>
              </w:rPr>
            </w:pPr>
            <w:r>
              <w:rPr>
                <w:b w:val="0"/>
                <w:bCs w:val="0"/>
                <w:i/>
                <w:iCs/>
                <w:color w:val="000000" w:themeColor="text1"/>
              </w:rPr>
              <w:t xml:space="preserve">7736050003</w:t>
            </w:r>
            <w:r>
              <w:rPr>
                <w:b w:val="0"/>
                <w:bCs w:val="0"/>
                <w:i/>
                <w:iCs/>
                <w:color w:val="000000" w:themeColor="text1"/>
              </w:rPr>
            </w:r>
            <w:r>
              <w:rPr>
                <w:b w:val="0"/>
                <w:bCs w:val="0"/>
                <w:i/>
                <w:iCs/>
                <w:color w:val="000000" w:themeColor="text1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3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16" w:type="dxa"/>
            <w:vAlign w:val="center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 xml:space="preserve">Сведения о представителе заявителя:</w:t>
            </w:r>
            <w:r>
              <w:rPr>
                <w:b/>
                <w:bCs/>
                <w:iCs/>
                <w:color w:val="000000" w:themeColor="text1"/>
              </w:rPr>
            </w:r>
            <w:r>
              <w:rPr>
                <w:b/>
                <w:bCs/>
                <w:iCs/>
                <w:color w:val="000000" w:themeColor="text1"/>
              </w:rPr>
            </w:r>
          </w:p>
        </w:tc>
      </w:tr>
      <w:tr>
        <w:tblPrEx/>
        <w:trPr>
          <w:trHeight w:val="2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Align w:val="center"/>
            <w:vMerge w:val="restart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bookmarkStart w:id="2" w:name="sub_2031"/>
            <w:r>
              <w:rPr>
                <w:b w:val="0"/>
                <w:bCs w:val="0"/>
              </w:rPr>
              <w:t xml:space="preserve">3.1</w:t>
            </w:r>
            <w:bookmarkEnd w:id="2"/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71" w:type="dxa"/>
            <w:vAlign w:val="center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Фамилия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45" w:type="dxa"/>
            <w:vAlign w:val="center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center"/>
              <w:rPr>
                <w:b w:val="0"/>
                <w:bCs w:val="0"/>
                <w:i/>
                <w:iCs/>
                <w:color w:val="000000" w:themeColor="text1"/>
              </w:rPr>
            </w:pPr>
            <w:r>
              <w:rPr>
                <w:b w:val="0"/>
                <w:bCs w:val="0"/>
                <w:i/>
                <w:iCs/>
                <w:color w:val="000000" w:themeColor="text1"/>
              </w:rPr>
              <w:t xml:space="preserve">Харламов</w:t>
            </w:r>
            <w:r>
              <w:rPr>
                <w:b w:val="0"/>
                <w:bCs w:val="0"/>
                <w:i/>
                <w:iCs/>
                <w:color w:val="000000" w:themeColor="text1"/>
              </w:rPr>
            </w:r>
            <w:r>
              <w:rPr>
                <w:b w:val="0"/>
                <w:bCs w:val="0"/>
                <w:i/>
                <w:iCs/>
                <w:color w:val="000000" w:themeColor="text1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71" w:type="dxa"/>
            <w:vAlign w:val="center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Имя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45" w:type="dxa"/>
            <w:vAlign w:val="center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center"/>
              <w:rPr>
                <w:b w:val="0"/>
                <w:bCs w:val="0"/>
                <w:i/>
                <w:iCs/>
                <w:color w:val="000000" w:themeColor="text1"/>
              </w:rPr>
            </w:pPr>
            <w:r>
              <w:rPr>
                <w:b w:val="0"/>
                <w:bCs w:val="0"/>
                <w:i/>
                <w:iCs/>
                <w:color w:val="000000" w:themeColor="text1"/>
              </w:rPr>
              <w:t xml:space="preserve">Алексей</w:t>
            </w:r>
            <w:r>
              <w:rPr>
                <w:b w:val="0"/>
                <w:bCs w:val="0"/>
                <w:i/>
                <w:iCs/>
                <w:color w:val="000000" w:themeColor="text1"/>
              </w:rPr>
            </w:r>
            <w:r>
              <w:rPr>
                <w:b w:val="0"/>
                <w:bCs w:val="0"/>
                <w:i/>
                <w:iCs/>
                <w:color w:val="000000" w:themeColor="text1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71" w:type="dxa"/>
            <w:vAlign w:val="center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Отчество (при наличии)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45" w:type="dxa"/>
            <w:vAlign w:val="center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center"/>
              <w:rPr>
                <w:b w:val="0"/>
                <w:bCs w:val="0"/>
                <w:i/>
                <w:iCs/>
                <w:color w:val="000000" w:themeColor="text1"/>
              </w:rPr>
            </w:pPr>
            <w:r>
              <w:rPr>
                <w:b w:val="0"/>
                <w:bCs w:val="0"/>
                <w:i/>
                <w:iCs/>
                <w:color w:val="000000" w:themeColor="text1"/>
              </w:rPr>
              <w:t xml:space="preserve">Сергеевич</w:t>
            </w:r>
            <w:r>
              <w:rPr>
                <w:b w:val="0"/>
                <w:bCs w:val="0"/>
                <w:i/>
                <w:iCs/>
                <w:color w:val="000000" w:themeColor="text1"/>
              </w:rPr>
            </w:r>
            <w:r>
              <w:rPr>
                <w:b w:val="0"/>
                <w:bCs w:val="0"/>
                <w:i/>
                <w:iCs/>
                <w:color w:val="000000" w:themeColor="text1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bookmarkStart w:id="3" w:name="sub_2032"/>
            <w:r>
              <w:rPr>
                <w:b w:val="0"/>
                <w:bCs w:val="0"/>
              </w:rPr>
              <w:t xml:space="preserve">3.2</w:t>
            </w:r>
            <w:bookmarkEnd w:id="3"/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71" w:type="dxa"/>
            <w:vAlign w:val="center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Адрес электронной почты (при наличии)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45" w:type="dxa"/>
            <w:vAlign w:val="center"/>
            <w:textDirection w:val="lrTb"/>
            <w:noWrap w:val="false"/>
          </w:tcPr>
          <w:p>
            <w:pPr>
              <w:pStyle w:val="925"/>
              <w:jc w:val="center"/>
              <w:rPr>
                <w:rStyle w:val="922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r>
            <w:hyperlink r:id="rId14" w:tooltip="mailto:T.Burkova@gazpromre.gazprom.ru," w:history="1">
              <w:r>
                <w:rPr>
                  <w:rStyle w:val="922"/>
                  <w:rFonts w:ascii="Times New Roman" w:hAnsi="Times New Roman"/>
                  <w:b w:val="0"/>
                  <w:bCs w:val="0"/>
                  <w:color w:val="000000" w:themeColor="text1"/>
                  <w:sz w:val="24"/>
                  <w:szCs w:val="24"/>
                  <w:lang w:val="en-US"/>
                </w:rPr>
                <w:t xml:space="preserve">T.Burkova@gazpromre.gazprom.ru,</w:t>
              </w:r>
              <w:r>
                <w:rPr>
                  <w:rStyle w:val="922"/>
                  <w:rFonts w:ascii="Times New Roman" w:hAnsi="Times New Roman" w:cs="Times New Roman"/>
                  <w:b w:val="0"/>
                  <w:bCs w:val="0"/>
                  <w:color w:val="000000" w:themeColor="text1"/>
                  <w:sz w:val="24"/>
                  <w:szCs w:val="24"/>
                </w:rPr>
              </w:r>
              <w:r>
                <w:rPr>
                  <w:rStyle w:val="922"/>
                  <w:rFonts w:ascii="Times New Roman" w:hAnsi="Times New Roman" w:cs="Times New Roman"/>
                  <w:b w:val="0"/>
                  <w:bCs w:val="0"/>
                  <w:color w:val="000000" w:themeColor="text1"/>
                  <w:sz w:val="24"/>
                  <w:szCs w:val="24"/>
                </w:rPr>
              </w:r>
            </w:hyperlink>
            <w:r>
              <w:rPr>
                <w:rStyle w:val="922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br/>
            </w:r>
            <w:hyperlink r:id="rId15" w:tooltip="Click to mail mal@vlg.gazprom.ru" w:history="1">
              <w:r>
                <w:rPr>
                  <w:rStyle w:val="922"/>
                  <w:rFonts w:ascii="Times New Roman" w:hAnsi="Times New Roman" w:eastAsia="Times New Roman" w:cs="Times New Roman"/>
                  <w:b w:val="0"/>
                  <w:bCs w:val="0"/>
                  <w:color w:val="000000" w:themeColor="text1"/>
                  <w:highlight w:val="white"/>
                  <w:u w:val="none"/>
                </w:rPr>
                <w:t xml:space="preserve">mal@vlg.gazprom.ru</w:t>
              </w:r>
            </w:hyperlink>
            <w:r>
              <w:rPr>
                <w:rStyle w:val="922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Style w:val="922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bookmarkStart w:id="4" w:name="sub_2033"/>
            <w:r>
              <w:rPr>
                <w:b w:val="0"/>
                <w:bCs w:val="0"/>
              </w:rPr>
              <w:t xml:space="preserve">3.3</w:t>
            </w:r>
            <w:bookmarkEnd w:id="4"/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71" w:type="dxa"/>
            <w:vAlign w:val="center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Телефон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45" w:type="dxa"/>
            <w:vAlign w:val="center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(812) 631-32-25,</w:t>
              <w:br/>
              <w:t xml:space="preserve">8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highlight w:val="white"/>
              </w:rPr>
              <w:t xml:space="preserve">(8442) 96-00-73,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bookmarkStart w:id="5" w:name="sub_2034"/>
            <w:r>
              <w:rPr>
                <w:b w:val="0"/>
                <w:bCs w:val="0"/>
              </w:rPr>
              <w:t xml:space="preserve">3.4</w:t>
            </w:r>
            <w:bookmarkEnd w:id="5"/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71" w:type="dxa"/>
            <w:textDirection w:val="lrTb"/>
            <w:noWrap w:val="false"/>
          </w:tcPr>
          <w:p>
            <w:pPr>
              <w:pStyle w:val="913"/>
              <w:contextualSpacing/>
              <w:ind w:firstLine="10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Наименование и реквизиты документа, подтверждающего полномочия представителя заявителя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45" w:type="dxa"/>
            <w:vAlign w:val="center"/>
            <w:textDirection w:val="lrTb"/>
            <w:noWrap w:val="false"/>
          </w:tcPr>
          <w:p>
            <w:pPr>
              <w:pStyle w:val="925"/>
              <w:ind w:firstLine="102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Доверенность ПАО «Газпром»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</w:p>
          <w:p>
            <w:pPr>
              <w:pStyle w:val="925"/>
              <w:ind w:firstLine="102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№ 01/04/04-208д от 01.04.2024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</w:p>
          <w:p>
            <w:pPr>
              <w:pStyle w:val="913"/>
              <w:contextualSpacing/>
              <w:ind w:firstLine="102"/>
              <w:jc w:val="center"/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 xml:space="preserve">(зарегистрировано в реестре </w:t>
            </w:r>
            <w:r>
              <w:rPr>
                <w:b w:val="0"/>
                <w:bCs w:val="0"/>
                <w:color w:val="000000" w:themeColor="text1"/>
              </w:rPr>
            </w:r>
            <w:r>
              <w:rPr>
                <w:b w:val="0"/>
                <w:bCs w:val="0"/>
                <w:color w:val="000000" w:themeColor="text1"/>
              </w:rPr>
            </w:r>
          </w:p>
          <w:p>
            <w:pPr>
              <w:pStyle w:val="913"/>
              <w:contextualSpacing/>
              <w:ind w:firstLine="102"/>
              <w:jc w:val="center"/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 xml:space="preserve">№ 78/98-н/78-2024-3-2063 от 01.04.2024)</w:t>
            </w:r>
            <w:r>
              <w:rPr>
                <w:b w:val="0"/>
                <w:bCs w:val="0"/>
                <w:color w:val="000000" w:themeColor="text1"/>
              </w:rPr>
            </w:r>
            <w:r>
              <w:rPr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rHeight w:val="117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4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16" w:type="dxa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Прошу установить публичный сервитут для использования земель и (или) земельных участков в целях эксплуатации линейного объекта системы газоснабжения федерального значения: </w:t>
            </w:r>
            <w:r>
              <w:rPr>
                <w:b w:val="0"/>
                <w:bCs w:val="0"/>
                <w:iCs/>
              </w:rPr>
              <w:t xml:space="preserve">«</w:t>
            </w:r>
            <w:r>
              <w:rPr>
                <w:b w:val="0"/>
                <w:bCs w:val="0"/>
                <w:iCs/>
              </w:rPr>
              <w:t xml:space="preserve">Газопровод-отвод к г. Волгограду</w:t>
            </w:r>
            <w:r>
              <w:rPr>
                <w:b w:val="0"/>
                <w:bCs w:val="0"/>
                <w:iCs/>
              </w:rPr>
              <w:t xml:space="preserve">»</w:t>
            </w:r>
            <w:r>
              <w:rPr>
                <w:b w:val="0"/>
                <w:bCs w:val="0"/>
              </w:rPr>
              <w:t xml:space="preserve">, в соответствии с пунктом 3, статьи 3.6 Федерального закона от 25.10.2001 № 137-ФЗ «О введении в действие Земельного кодекса РФ».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trHeight w:val="3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5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16" w:type="dxa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Испрашиваемый срок публичного сервитута: </w:t>
            </w:r>
            <w:r>
              <w:rPr>
                <w:b w:val="0"/>
                <w:bCs w:val="0"/>
                <w:u w:val="single"/>
              </w:rPr>
              <w:t xml:space="preserve">49 </w:t>
            </w:r>
            <w:r>
              <w:rPr>
                <w:b w:val="0"/>
                <w:bCs w:val="0"/>
                <w:u w:val="single"/>
              </w:rPr>
              <w:t xml:space="preserve"> лет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trHeight w:val="177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6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16" w:type="dxa"/>
            <w:textDirection w:val="lrTb"/>
            <w:noWrap w:val="false"/>
          </w:tcPr>
          <w:p>
            <w:pPr>
              <w:pStyle w:val="913"/>
              <w:ind w:firstLine="10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</w:t>
            </w:r>
            <w:r>
              <w:rPr>
                <w:b w:val="0"/>
                <w:bCs w:val="0"/>
              </w:rPr>
              <w:t xml:space="preserve">с</w:t>
            </w:r>
            <w:r>
              <w:rPr>
                <w:b w:val="0"/>
                <w:bCs w:val="0"/>
              </w:rPr>
              <w:t xml:space="preserve">татьи 39.41 Земельного кодекса Российской Федерации невозможно или существенно затруднено в связи </w:t>
              <w:br/>
              <w:t xml:space="preserve">с осуществлением деятельности, для обеспечения которой устанавливается публичный сервитут (при возникновении таких обстоятельств) ___________-_______________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7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16" w:type="dxa"/>
            <w:textDirection w:val="lrTb"/>
            <w:noWrap w:val="false"/>
          </w:tcPr>
          <w:p>
            <w:pPr>
              <w:pStyle w:val="913"/>
              <w:ind w:firstLine="10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Обоснование необходимости установления публичного сервитута: 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ind w:firstLine="10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Существующий линейный объект системы газоснабжения федерального значения: «</w:t>
            </w:r>
            <w:r>
              <w:rPr>
                <w:b w:val="0"/>
                <w:bCs w:val="0"/>
                <w:iCs/>
              </w:rPr>
              <w:t xml:space="preserve">Газопровод-отвод к г. Волгограду</w:t>
            </w:r>
            <w:r>
              <w:rPr>
                <w:b w:val="0"/>
                <w:bCs w:val="0"/>
              </w:rPr>
              <w:t xml:space="preserve">», является объектом федерального значения и внесен в схему территориального планирования Российской Фед</w:t>
            </w:r>
            <w:r>
              <w:rPr>
                <w:b w:val="0"/>
                <w:bCs w:val="0"/>
              </w:rPr>
              <w:t xml:space="preserve">е</w:t>
            </w:r>
            <w:r>
              <w:rPr>
                <w:b w:val="0"/>
                <w:bCs w:val="0"/>
              </w:rPr>
              <w:t xml:space="preserve">рации в области трубопроводного транспорта, утвержденной Распоряжением Правительства РФ от 12.03.2024 № 579-р </w:t>
              <w:br/>
              <w:t xml:space="preserve">«Об утверждении схемы территориального планирования Российской Федерации в области Федерального транспорта (в части трубопроводного транспорта)».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ind w:left="0" w:right="0" w:firstLine="14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Линейное сооружение «</w:t>
            </w:r>
            <w:r>
              <w:rPr>
                <w:b w:val="0"/>
                <w:bCs w:val="0"/>
                <w:iCs/>
              </w:rPr>
              <w:t xml:space="preserve">Газопровод-отвод к г. Волгограду»</w:t>
            </w:r>
            <w:r>
              <w:rPr>
                <w:b w:val="0"/>
                <w:bCs w:val="0"/>
              </w:rPr>
              <w:t xml:space="preserve">, с кадастровым номером 34:00:000000:70035, имеет следующий состав: 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numPr>
                <w:ilvl w:val="0"/>
                <w:numId w:val="6"/>
              </w:numPr>
              <w:ind w:left="425" w:hanging="283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газопровод-отвод к г. Волгограду 1 очередь, протяженностью 65677,25 м, Литер Б1;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numPr>
                <w:ilvl w:val="0"/>
                <w:numId w:val="6"/>
              </w:numPr>
              <w:ind w:left="0" w:right="0" w:firstLine="283"/>
              <w:jc w:val="both"/>
              <w:tabs>
                <w:tab w:val="left" w:pos="567" w:leader="none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электрохимзащита</w:t>
            </w:r>
            <w:r>
              <w:rPr>
                <w:b w:val="0"/>
                <w:bCs w:val="0"/>
              </w:rPr>
              <w:t xml:space="preserve"> газопровода - отвода к г.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Волгограду 1 очередь, протяженностью 510м, </w:t>
            </w:r>
            <w:r>
              <w:rPr>
                <w:b w:val="0"/>
                <w:bCs w:val="0"/>
              </w:rPr>
              <w:t xml:space="preserve">Литер Д1;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numPr>
                <w:ilvl w:val="0"/>
                <w:numId w:val="6"/>
              </w:numPr>
              <w:ind w:left="0" w:right="0" w:firstLine="283"/>
              <w:jc w:val="both"/>
              <w:tabs>
                <w:tab w:val="left" w:pos="567" w:leader="none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электрохимзащита</w:t>
            </w:r>
            <w:r>
              <w:rPr>
                <w:b w:val="0"/>
                <w:bCs w:val="0"/>
              </w:rPr>
              <w:t xml:space="preserve"> газопровода - отвода к г.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Волгограду 1 очередь, протяженностью 510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м, Литер Д2;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numPr>
                <w:ilvl w:val="0"/>
                <w:numId w:val="6"/>
              </w:numPr>
              <w:ind w:left="0" w:right="0" w:firstLine="283"/>
              <w:jc w:val="both"/>
              <w:tabs>
                <w:tab w:val="left" w:pos="567" w:leader="none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электрохимзащита</w:t>
            </w:r>
            <w:r>
              <w:rPr>
                <w:b w:val="0"/>
                <w:bCs w:val="0"/>
              </w:rPr>
              <w:t xml:space="preserve"> газопровода - отвода к г.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Волгограду 1 очередь, протяженностью 380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м, Литер Д3;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numPr>
                <w:ilvl w:val="0"/>
                <w:numId w:val="6"/>
              </w:numPr>
              <w:ind w:left="0" w:right="0" w:firstLine="283"/>
              <w:jc w:val="both"/>
              <w:tabs>
                <w:tab w:val="left" w:pos="567" w:leader="none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электрохимзащита</w:t>
            </w:r>
            <w:r>
              <w:rPr>
                <w:b w:val="0"/>
                <w:bCs w:val="0"/>
              </w:rPr>
              <w:t xml:space="preserve"> ГРС-4 на газопроводе - отводе к г.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Волгограду 2 очередь, протяженностью 240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м, Литер Д4;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numPr>
                <w:ilvl w:val="0"/>
                <w:numId w:val="6"/>
              </w:numPr>
              <w:ind w:left="0" w:right="0" w:firstLine="283"/>
              <w:jc w:val="both"/>
              <w:tabs>
                <w:tab w:val="left" w:pos="567" w:leader="none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сети КИПиА газопровода - отвода к г.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Волгограду 1 очередь, протяженностью 620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м, Литер</w:t>
            </w:r>
            <w:r>
              <w:rPr>
                <w:b w:val="0"/>
                <w:bCs w:val="0"/>
              </w:rPr>
              <w:t xml:space="preserve">а</w:t>
            </w:r>
            <w:r>
              <w:rPr>
                <w:b w:val="0"/>
                <w:bCs w:val="0"/>
              </w:rPr>
              <w:t xml:space="preserve"> И1,И2,И3,И4;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numPr>
                <w:ilvl w:val="0"/>
                <w:numId w:val="6"/>
              </w:numPr>
              <w:ind w:left="0" w:right="0" w:firstLine="283"/>
              <w:jc w:val="both"/>
              <w:tabs>
                <w:tab w:val="left" w:pos="567" w:leader="none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ВЛ-10 </w:t>
            </w:r>
            <w:r>
              <w:rPr>
                <w:b w:val="0"/>
                <w:bCs w:val="0"/>
              </w:rPr>
              <w:t xml:space="preserve">кВ</w:t>
            </w:r>
            <w:r>
              <w:rPr>
                <w:b w:val="0"/>
                <w:bCs w:val="0"/>
              </w:rPr>
              <w:t xml:space="preserve"> от подстанции «Летняя», протяженностью 55</w:t>
            </w:r>
            <w:r>
              <w:rPr>
                <w:b w:val="0"/>
                <w:bCs w:val="0"/>
              </w:rPr>
              <w:t xml:space="preserve"> </w:t>
            </w:r>
            <w:r>
              <w:rPr>
                <w:b w:val="0"/>
                <w:bCs w:val="0"/>
              </w:rPr>
              <w:t xml:space="preserve">986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м, Литер Л1;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numPr>
                <w:ilvl w:val="0"/>
                <w:numId w:val="6"/>
              </w:numPr>
              <w:ind w:left="0" w:right="0" w:firstLine="283"/>
              <w:jc w:val="both"/>
              <w:tabs>
                <w:tab w:val="left" w:pos="567" w:leader="none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электроснабжение ГРС-4 на газопроводе - отводе к г.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Волгограду 2 очередь, протяженностью 1320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м, Литер Л2;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numPr>
                <w:ilvl w:val="0"/>
                <w:numId w:val="6"/>
              </w:numPr>
              <w:ind w:left="0" w:right="0" w:firstLine="283"/>
              <w:jc w:val="both"/>
              <w:tabs>
                <w:tab w:val="left" w:pos="567" w:leader="none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кабельная линия связи ГРС-4 1 очередь газопровода - отвода к г.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Волгограду, протяженностью 61 583м, Литер С1;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numPr>
                <w:ilvl w:val="0"/>
                <w:numId w:val="6"/>
              </w:numPr>
              <w:ind w:left="0" w:right="0" w:firstLine="283"/>
              <w:jc w:val="both"/>
              <w:tabs>
                <w:tab w:val="left" w:pos="567" w:leader="none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НУП 1/4 газопровода - отвода к г.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Волгограду 1 очередь, площадь 5,6 кв.м., Литер Г1;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numPr>
                <w:ilvl w:val="0"/>
                <w:numId w:val="6"/>
              </w:numPr>
              <w:ind w:left="0" w:right="0" w:firstLine="283"/>
              <w:jc w:val="both"/>
              <w:tabs>
                <w:tab w:val="left" w:pos="567" w:leader="none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НУП 2/4 газопровода - отвода к г.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Волгограду 1 очередь, площадь 5,6 кв.м., Литер Г2;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numPr>
                <w:ilvl w:val="0"/>
                <w:numId w:val="6"/>
              </w:numPr>
              <w:ind w:left="0" w:right="0" w:firstLine="283"/>
              <w:jc w:val="both"/>
              <w:tabs>
                <w:tab w:val="left" w:pos="567" w:leader="none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НУП 3/4 газопровода - отвода к г.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Волгограду 1 очередь, площадь 5,6 кв.м., Литер Г3;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numPr>
                <w:ilvl w:val="0"/>
                <w:numId w:val="6"/>
              </w:numPr>
              <w:ind w:left="0" w:right="0" w:firstLine="283"/>
              <w:jc w:val="both"/>
              <w:tabs>
                <w:tab w:val="left" w:pos="567" w:leader="none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НУП 4/4 газопровода - отвода к г.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Волгограду 1 очередь, площадь 5,6 кв.м., Литер Г4;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numPr>
                <w:ilvl w:val="0"/>
                <w:numId w:val="6"/>
              </w:numPr>
              <w:ind w:left="0" w:right="0" w:firstLine="283"/>
              <w:jc w:val="both"/>
              <w:tabs>
                <w:tab w:val="left" w:pos="567" w:leader="none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ограждение ГРС-4 газопровода - отвода к г. Волгограду, Литер XVII;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в.м</w:t>
            </w:r>
            <w:r>
              <w:rPr>
                <w:b w:val="0"/>
                <w:bCs w:val="0"/>
              </w:rPr>
              <w:t xml:space="preserve">., Литер XIX;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numPr>
                <w:ilvl w:val="0"/>
                <w:numId w:val="6"/>
              </w:numPr>
              <w:ind w:left="0" w:right="0" w:firstLine="283"/>
              <w:jc w:val="both"/>
              <w:tabs>
                <w:tab w:val="left" w:pos="567" w:leader="none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замощение - благоустройство площадки ГРС-4 газопровода - отвода к г. Волгограду, площадью 4853,6 кв.м., Литер XIX,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ind w:firstLine="425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которые перечислены в Заключении кадастрового инженера к техническому плану </w:t>
            </w:r>
            <w:r>
              <w:rPr>
                <w:b w:val="0"/>
                <w:bCs w:val="0"/>
              </w:rPr>
              <w:br/>
              <w:t xml:space="preserve">от 11.04.2025 года.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ind w:firstLine="102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  <w:p>
            <w:pPr>
              <w:pStyle w:val="913"/>
              <w:ind w:firstLine="283"/>
              <w:jc w:val="both"/>
              <w:rPr>
                <w:b w:val="0"/>
                <w:bCs w:val="0"/>
                <w:highlight w:val="none"/>
              </w:rPr>
            </w:pPr>
            <w:r>
              <w:rPr>
                <w:b w:val="0"/>
                <w:bCs w:val="0"/>
              </w:rPr>
              <w:t xml:space="preserve">Право собственности на объект </w:t>
            </w:r>
            <w:r>
              <w:rPr>
                <w:b w:val="0"/>
                <w:bCs w:val="0"/>
              </w:rPr>
              <w:t xml:space="preserve">«</w:t>
            </w:r>
            <w:r>
              <w:rPr>
                <w:b w:val="0"/>
                <w:bCs w:val="0"/>
                <w:iCs/>
              </w:rPr>
              <w:t xml:space="preserve">Газопровод-отвод к г. Волгограду</w:t>
            </w:r>
            <w:r>
              <w:rPr>
                <w:b w:val="0"/>
                <w:bCs w:val="0"/>
              </w:rPr>
              <w:t xml:space="preserve">» зарегистрировано </w:t>
              <w:br/>
              <w:t xml:space="preserve">в Едином государственном реестре недвижимости, что подтверждается за</w:t>
            </w:r>
            <w:r>
              <w:rPr>
                <w:b w:val="0"/>
                <w:bCs w:val="0"/>
              </w:rPr>
              <w:t xml:space="preserve">писью</w:t>
              <w:br/>
              <w:t xml:space="preserve">о государственной регистрации права собственности  № 34-34-16/031/2007-273 от 16.02.2008.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  <w:highlight w:val="none"/>
              </w:rPr>
            </w:r>
          </w:p>
          <w:p>
            <w:pPr>
              <w:pStyle w:val="913"/>
              <w:ind w:firstLine="283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highlight w:val="none"/>
              </w:rPr>
              <w:t xml:space="preserve">Государственная регистрация права осуществлена в </w:t>
            </w:r>
            <w:r>
              <w:rPr>
                <w:b w:val="0"/>
                <w:bCs w:val="0"/>
              </w:rPr>
              <w:t xml:space="preserve">соответствии с требованиями действовавшего на момент ее про</w:t>
            </w:r>
            <w:r>
              <w:rPr>
                <w:b w:val="0"/>
                <w:bCs w:val="0"/>
              </w:rPr>
              <w:t xml:space="preserve">ведения процедуры государственной регистрации Федерального закона от 21.07.1997 № 122-ФЗ «О государственной регистрации прав на недвижимое имущество и сделок с ним»</w:t>
            </w:r>
            <w:r>
              <w:rPr>
                <w:b w:val="0"/>
                <w:bCs w:val="0"/>
              </w:rPr>
              <w:t xml:space="preserve">.</w:t>
            </w:r>
            <w:r>
              <w:rPr>
                <w:b w:val="0"/>
                <w:bCs w:val="0"/>
                <w:highlight w:val="none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ind w:firstLine="283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  <w:p>
            <w:pPr>
              <w:contextualSpacing/>
              <w:ind w:firstLine="283"/>
              <w:jc w:val="both"/>
              <w:keepNext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iCs/>
                <w:sz w:val="24"/>
                <w:szCs w:val="24"/>
              </w:rPr>
              <w:t xml:space="preserve">Первичный технический учет объекта был осуществлен в 2004 году на </w:t>
            </w:r>
            <w:r>
              <w:rPr>
                <w:b w:val="0"/>
                <w:bCs w:val="0"/>
                <w:iCs/>
                <w:sz w:val="24"/>
                <w:szCs w:val="24"/>
              </w:rPr>
              <w:t xml:space="preserve">ос</w:t>
            </w:r>
            <w:r>
              <w:rPr>
                <w:b w:val="0"/>
                <w:bCs w:val="0"/>
                <w:iCs/>
                <w:sz w:val="24"/>
                <w:szCs w:val="24"/>
              </w:rPr>
              <w:t xml:space="preserve">новании </w:t>
              <w:br/>
              <w:t xml:space="preserve">п.7 постановления Правительства Российской Федерации № 921 от 04.12.2000 </w:t>
              <w:br/>
              <w:t xml:space="preserve">«О государственном техническом учете и технической инвентаризации в Российской Федерации объектов капитального строительства», с изготовлением технического паспорта объекта.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contextualSpacing/>
              <w:ind w:firstLine="283"/>
              <w:jc w:val="both"/>
              <w:keepNext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t xml:space="preserve">Согласно пункту 4 статьи 69 закона № </w:t>
            </w:r>
            <w:r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t xml:space="preserve">218-ФЗ технический учет или государственный учет объектов недвижимости, в том числе осуществленные в установленном законодательством Российской Федерации порядке до дня вступления в силу Федерального закона от 24.07.2007 № 221-ФЗ «О государственном кадастр</w:t>
            </w:r>
            <w:r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t xml:space="preserve">е недвижимости», признаются юридически действительными, и такие объекты считаются ранее учтенными объектами недвижимого имущества. При этом объекты недвижимости, государственный кадастровый учет или государственный учет, в том числе технический учет, котор</w:t>
            </w:r>
            <w:r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t xml:space="preserve">ых</w:t>
            </w:r>
            <w:r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t xml:space="preserve"> не осуществлен, но права, </w:t>
              <w:br/>
              <w:t xml:space="preserve">на которые зарегистрированы в ЕГРН и не прекращены и которым присвоены органом регистрации прав условные номера в порядке, установленном в соответствии с законом </w:t>
              <w:br/>
              <w:t xml:space="preserve">№ 122-ФЗ, также считаются ранее учтенными объектами недвижимости.</w:t>
            </w:r>
            <w:r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r>
          </w:p>
          <w:p>
            <w:pPr>
              <w:contextualSpacing/>
              <w:ind w:firstLine="283"/>
              <w:jc w:val="both"/>
              <w:keepNext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t xml:space="preserve">Требования о необходимости внесения в ЕГРН сведений о местоположении объекта недвижимости были установлены Федеральным законом от 13.07.2015 № 218-ФЗ</w:t>
              <w:br/>
              <w:t xml:space="preserve"> «О государственной регистрации недвижимости» (далее – закон № 218-ФЗ) с 01.01.2017.</w:t>
            </w:r>
            <w:r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r>
          </w:p>
          <w:p>
            <w:pPr>
              <w:contextualSpacing/>
              <w:ind w:firstLine="283"/>
              <w:jc w:val="both"/>
              <w:keepNext/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t xml:space="preserve">Таким образом,</w:t>
            </w:r>
            <w:r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t xml:space="preserve"> у</w:t>
            </w:r>
            <w:r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t xml:space="preserve"> ПАО «Газпром» отсутствует необходимость в проведении работ </w:t>
              <w:br/>
              <w:t xml:space="preserve">по внесению в ЕГРН сведений о расположении объекта недвижимости на земельном участке, которое возможно только путем изготовления технического плана в соответствии </w:t>
              <w:br/>
              <w:t xml:space="preserve">с требованиями закона № 218-ФЗ.</w:t>
            </w:r>
            <w: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contextualSpacing/>
              <w:ind w:firstLine="283"/>
              <w:jc w:val="both"/>
              <w:keepNext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r>
          </w:p>
          <w:p>
            <w:pPr>
              <w:contextualSpacing/>
              <w:ind w:firstLine="283"/>
              <w:jc w:val="both"/>
              <w:keepNext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iCs/>
                <w:sz w:val="24"/>
                <w:szCs w:val="24"/>
              </w:rPr>
              <w:t xml:space="preserve">По результатам проведенных работ по переустройству газопровода, в связи с изменением сведений о характерных точках контура объекта в 2025 году подготовлен </w:t>
            </w:r>
            <w:r>
              <w:rPr>
                <w:rFonts w:eastAsia="Times New Roman"/>
                <w:b w:val="0"/>
                <w:bCs w:val="0"/>
                <w:iCs/>
                <w:sz w:val="24"/>
                <w:szCs w:val="24"/>
                <w:u w:val="single"/>
              </w:rPr>
              <w:t xml:space="preserve">технический план объекта</w:t>
            </w:r>
            <w:r>
              <w:rPr>
                <w:b w:val="0"/>
                <w:bCs w:val="0"/>
                <w:iCs/>
                <w:sz w:val="24"/>
                <w:szCs w:val="24"/>
              </w:rPr>
              <w:t xml:space="preserve">, в составе которого в координатной части учитывалась только протяженность линейной части газопровода.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ind w:firstLine="283"/>
              <w:jc w:val="both"/>
              <w:spacing w:after="0" w:line="240" w:lineRule="auto"/>
              <w:rPr>
                <w:b w:val="0"/>
                <w:bCs w:val="0"/>
                <w:iCs/>
                <w:szCs w:val="24"/>
              </w:rPr>
            </w:pPr>
            <w:r>
              <w:rPr>
                <w:b w:val="0"/>
                <w:bCs w:val="0"/>
                <w:iCs/>
                <w:sz w:val="24"/>
                <w:szCs w:val="24"/>
              </w:rPr>
              <w:t xml:space="preserve">Другие вспомогательные объекты: сооружения связи, электроснабжения, </w:t>
            </w:r>
            <w:r>
              <w:rPr>
                <w:b w:val="0"/>
                <w:bCs w:val="0"/>
                <w:iCs/>
                <w:sz w:val="24"/>
                <w:szCs w:val="24"/>
              </w:rPr>
              <w:t xml:space="preserve">электрохимзащиты</w:t>
            </w:r>
            <w:r>
              <w:rPr>
                <w:b w:val="0"/>
                <w:bCs w:val="0"/>
                <w:iCs/>
                <w:sz w:val="24"/>
                <w:szCs w:val="24"/>
              </w:rPr>
              <w:t xml:space="preserve">, автоматизации, входящие в состав производственно-технологического комплекса, в координатной части не учитывались.</w:t>
            </w:r>
            <w:r>
              <w:rPr>
                <w:b w:val="0"/>
                <w:bCs w:val="0"/>
                <w:iCs/>
                <w:szCs w:val="24"/>
              </w:rPr>
            </w:r>
            <w:r>
              <w:rPr>
                <w:b w:val="0"/>
                <w:bCs w:val="0"/>
                <w:iCs/>
                <w:szCs w:val="24"/>
              </w:rPr>
            </w:r>
          </w:p>
          <w:p>
            <w:pPr>
              <w:pStyle w:val="913"/>
              <w:ind w:firstLine="283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  <w:p>
            <w:pPr>
              <w:pStyle w:val="913"/>
              <w:ind w:firstLine="283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Дополнительно в прилагаемых документах представлен технический отчет по выполнению топографо-геодезических работ с перечнями координат характерных точек объекта «</w:t>
            </w:r>
            <w:r>
              <w:rPr>
                <w:b w:val="0"/>
                <w:bCs w:val="0"/>
                <w:iCs/>
              </w:rPr>
              <w:t xml:space="preserve">Газопровод-отвод к г. Волгограду</w:t>
            </w:r>
            <w:r>
              <w:rPr>
                <w:b w:val="0"/>
                <w:bCs w:val="0"/>
              </w:rPr>
              <w:t xml:space="preserve">».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ind w:firstLine="283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</w:r>
          </w:p>
          <w:p>
            <w:pPr>
              <w:pStyle w:val="913"/>
              <w:ind w:left="0" w:right="0" w:firstLine="14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Для эксплуатации наземных элементов линейного объекта «</w:t>
            </w:r>
            <w:r>
              <w:rPr>
                <w:b w:val="0"/>
                <w:bCs w:val="0"/>
                <w:iCs/>
              </w:rPr>
              <w:t xml:space="preserve">Газопровод-отвод </w:t>
              <w:br/>
              <w:t xml:space="preserve">к г. Волгограду</w:t>
            </w:r>
            <w:r>
              <w:rPr>
                <w:b w:val="0"/>
                <w:bCs w:val="0"/>
              </w:rPr>
              <w:t xml:space="preserve">» заключены договоры аренды земельных участков: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numPr>
                <w:ilvl w:val="0"/>
                <w:numId w:val="8"/>
              </w:numPr>
              <w:ind w:left="283" w:right="0" w:hanging="283"/>
              <w:jc w:val="both"/>
              <w:rPr>
                <w:b w:val="0"/>
                <w:bCs w:val="0"/>
                <w:color w:val="252625"/>
                <w:highlight w:val="white"/>
              </w:rPr>
            </w:pPr>
            <w:r>
              <w:rPr>
                <w:b w:val="0"/>
                <w:bCs w:val="0"/>
                <w:highlight w:val="white"/>
              </w:rPr>
              <w:t xml:space="preserve">Договор аренды земельного участка № 217/05 от 24.06.2005 (</w:t>
            </w:r>
            <w:r>
              <w:rPr>
                <w:b w:val="0"/>
                <w:bCs w:val="0"/>
                <w:highlight w:val="white"/>
              </w:rPr>
              <w:t xml:space="preserve">к.н.з.у</w:t>
            </w:r>
            <w:r>
              <w:rPr>
                <w:b w:val="0"/>
                <w:bCs w:val="0"/>
                <w:highlight w:val="white"/>
              </w:rPr>
              <w:t xml:space="preserve">. </w:t>
            </w:r>
            <w:r>
              <w:rPr>
                <w:b w:val="0"/>
                <w:bCs w:val="0"/>
                <w:color w:val="252625"/>
                <w:highlight w:val="white"/>
              </w:rPr>
              <w:t xml:space="preserve">34:03:000000:344);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color w:val="252625"/>
                <w:highlight w:val="white"/>
              </w:rPr>
            </w:r>
          </w:p>
          <w:p>
            <w:pPr>
              <w:pStyle w:val="913"/>
              <w:numPr>
                <w:ilvl w:val="0"/>
                <w:numId w:val="8"/>
              </w:numPr>
              <w:ind w:left="0" w:right="0" w:firstLine="0"/>
              <w:jc w:val="both"/>
              <w:tabs>
                <w:tab w:val="left" w:pos="283" w:leader="none"/>
              </w:tabs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color w:val="252625"/>
                <w:highlight w:val="white"/>
              </w:rPr>
            </w:r>
            <w:r>
              <w:rPr>
                <w:rFonts w:eastAsia="Times New Roman"/>
                <w:b w:val="0"/>
                <w:bCs w:val="0"/>
                <w:sz w:val="24"/>
                <w:szCs w:val="24"/>
                <w:highlight w:val="white"/>
              </w:rPr>
              <w:t xml:space="preserve">Договор аренды земельного участка № 112/2014 от 09.07.2014 (</w:t>
            </w:r>
            <w:r>
              <w:rPr>
                <w:rFonts w:eastAsia="Times New Roman"/>
                <w:b w:val="0"/>
                <w:bCs w:val="0"/>
                <w:sz w:val="24"/>
                <w:szCs w:val="24"/>
                <w:highlight w:val="white"/>
              </w:rPr>
              <w:t xml:space="preserve">к.н.з.у</w:t>
            </w:r>
            <w:r>
              <w:rPr>
                <w:rFonts w:eastAsia="Times New Roman"/>
                <w:b w:val="0"/>
                <w:bCs w:val="0"/>
                <w:sz w:val="24"/>
                <w:szCs w:val="24"/>
                <w:highlight w:val="white"/>
              </w:rPr>
              <w:t xml:space="preserve">. </w:t>
            </w:r>
            <w:r>
              <w:rPr>
                <w:rFonts w:eastAsia="Times New Roman"/>
                <w:b w:val="0"/>
                <w:bCs w:val="0"/>
                <w:color w:val="252625"/>
                <w:sz w:val="24"/>
                <w:szCs w:val="24"/>
                <w:highlight w:val="white"/>
              </w:rPr>
              <w:t xml:space="preserve">34:03:000000:17686);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  <w:p>
            <w:pPr>
              <w:pStyle w:val="757"/>
              <w:numPr>
                <w:ilvl w:val="0"/>
                <w:numId w:val="8"/>
              </w:numPr>
              <w:ind w:left="283" w:right="0" w:hanging="283"/>
              <w:rPr>
                <w:rFonts w:eastAsia="Times New Roman"/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 w:val="0"/>
                <w:bCs w:val="0"/>
                <w:sz w:val="24"/>
                <w:szCs w:val="24"/>
                <w:highlight w:val="white"/>
              </w:rPr>
              <w:t xml:space="preserve">Договор аренды земельного участка № 102/2014 от 09.07.2014 (</w:t>
            </w:r>
            <w:r>
              <w:rPr>
                <w:rFonts w:eastAsia="Times New Roman"/>
                <w:b w:val="0"/>
                <w:bCs w:val="0"/>
                <w:sz w:val="24"/>
                <w:szCs w:val="24"/>
                <w:highlight w:val="white"/>
              </w:rPr>
              <w:t xml:space="preserve">к.н.з.у</w:t>
            </w:r>
            <w:r>
              <w:rPr>
                <w:rFonts w:eastAsia="Times New Roman"/>
                <w:b w:val="0"/>
                <w:bCs w:val="0"/>
                <w:sz w:val="24"/>
                <w:szCs w:val="24"/>
                <w:highlight w:val="white"/>
              </w:rPr>
              <w:t xml:space="preserve">. </w:t>
            </w:r>
            <w:r>
              <w:rPr>
                <w:rFonts w:eastAsia="Times New Roman"/>
                <w:b w:val="0"/>
                <w:bCs w:val="0"/>
                <w:color w:val="252625"/>
                <w:sz w:val="24"/>
                <w:szCs w:val="24"/>
                <w:highlight w:val="white"/>
              </w:rPr>
              <w:t xml:space="preserve">34:26:000000:168);</w:t>
            </w:r>
            <w:r>
              <w:rPr>
                <w:rFonts w:eastAsia="Times New Roman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eastAsia="Times New Roman"/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pStyle w:val="757"/>
              <w:numPr>
                <w:ilvl w:val="0"/>
                <w:numId w:val="8"/>
              </w:numPr>
              <w:ind w:left="283" w:right="0" w:hanging="283"/>
              <w:rPr>
                <w:rFonts w:eastAsia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 w:val="0"/>
                <w:bCs w:val="0"/>
                <w:sz w:val="24"/>
                <w:szCs w:val="24"/>
                <w:highlight w:val="white"/>
              </w:rPr>
              <w:t xml:space="preserve">Договор аренды земельного участка № 14/2014 от 25.02.2014 (</w:t>
            </w:r>
            <w:r>
              <w:rPr>
                <w:rFonts w:eastAsia="Times New Roman"/>
                <w:b w:val="0"/>
                <w:bCs w:val="0"/>
                <w:sz w:val="24"/>
                <w:szCs w:val="24"/>
                <w:highlight w:val="white"/>
              </w:rPr>
              <w:t xml:space="preserve">к.н.з.у</w:t>
            </w:r>
            <w:r>
              <w:rPr>
                <w:rFonts w:eastAsia="Times New Roman"/>
                <w:b w:val="0"/>
                <w:bCs w:val="0"/>
                <w:sz w:val="24"/>
                <w:szCs w:val="24"/>
                <w:highlight w:val="white"/>
              </w:rPr>
              <w:t xml:space="preserve">. 34:26:050302:183).</w:t>
            </w:r>
            <w:r>
              <w:rPr>
                <w:rFonts w:eastAsia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eastAsia="Times New Roman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Style w:val="757"/>
              <w:ind w:left="283" w:right="0" w:hanging="283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eastAsia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757"/>
              <w:ind w:left="0" w:right="0" w:firstLine="142"/>
              <w:jc w:val="both"/>
              <w:rPr>
                <w:rFonts w:eastAsia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 w:val="0"/>
                <w:bCs w:val="0"/>
                <w:sz w:val="24"/>
                <w:szCs w:val="24"/>
                <w:highlight w:val="none"/>
              </w:rPr>
              <w:t xml:space="preserve">Сведения об объекте </w:t>
            </w:r>
            <w:r>
              <w:rPr>
                <w:rFonts w:eastAsia="Times New Roman"/>
                <w:b w:val="0"/>
                <w:bCs w:val="0"/>
                <w:sz w:val="24"/>
                <w:szCs w:val="24"/>
                <w:highlight w:val="none"/>
              </w:rPr>
              <w:t xml:space="preserve">«</w:t>
            </w:r>
            <w:r>
              <w:rPr>
                <w:rFonts w:eastAsia="Times New Roman"/>
                <w:b w:val="0"/>
                <w:bCs w:val="0"/>
                <w:sz w:val="24"/>
                <w:szCs w:val="24"/>
                <w:highlight w:val="none"/>
              </w:rPr>
              <w:t xml:space="preserve">Газопровод-отвод к г. Волгограду</w:t>
            </w:r>
            <w:r>
              <w:rPr>
                <w:rFonts w:eastAsia="Times New Roman"/>
                <w:b w:val="0"/>
                <w:bCs w:val="0"/>
                <w:sz w:val="24"/>
                <w:szCs w:val="24"/>
                <w:highlight w:val="none"/>
              </w:rPr>
              <w:t xml:space="preserve">» </w:t>
            </w:r>
            <w:r>
              <w:rPr>
                <w:rFonts w:eastAsia="Times New Roman"/>
                <w:b w:val="0"/>
                <w:bCs w:val="0"/>
                <w:sz w:val="24"/>
                <w:szCs w:val="24"/>
                <w:highlight w:val="none"/>
              </w:rPr>
              <w:t xml:space="preserve">содержатся в материалах</w:t>
              <w:br/>
              <w:t xml:space="preserve">по обоснованию Схемы территориального планирования Российской Федерации в обрасти федерального транспорта  (раздел - трубопроводный транспорт), утвержденной  распоряжением Правительс</w:t>
            </w:r>
            <w:r>
              <w:rPr>
                <w:rFonts w:eastAsia="Times New Roman"/>
                <w:b w:val="0"/>
                <w:bCs w:val="0"/>
                <w:sz w:val="24"/>
                <w:szCs w:val="24"/>
                <w:highlight w:val="none"/>
              </w:rPr>
              <w:t xml:space="preserve">тва  Российской Федерации  от 06.05.2015 № 816 (в редакции </w:t>
              <w:br/>
              <w:t xml:space="preserve">от 12.03.2024 № 579).</w:t>
            </w:r>
            <w:r>
              <w:rPr>
                <w:rFonts w:eastAsia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eastAsia="Times New Roman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Style w:val="757"/>
              <w:ind w:firstLine="283"/>
              <w:rPr>
                <w:b w:val="0"/>
                <w:bCs w:val="0"/>
                <w:sz w:val="16"/>
                <w:szCs w:val="16"/>
                <w:highlight w:val="none"/>
              </w:rPr>
            </w:pPr>
            <w:r>
              <w:rPr>
                <w:b w:val="0"/>
                <w:bCs w:val="0"/>
                <w:sz w:val="16"/>
                <w:szCs w:val="16"/>
                <w:highlight w:val="none"/>
              </w:rPr>
            </w:r>
            <w:r>
              <w:rPr>
                <w:b w:val="0"/>
                <w:bCs w:val="0"/>
                <w:sz w:val="16"/>
                <w:szCs w:val="16"/>
                <w:highlight w:val="none"/>
              </w:rPr>
            </w:r>
            <w:r>
              <w:rPr>
                <w:b w:val="0"/>
                <w:bCs w:val="0"/>
                <w:sz w:val="16"/>
                <w:szCs w:val="16"/>
                <w:highlight w:val="none"/>
              </w:rPr>
            </w:r>
          </w:p>
        </w:tc>
      </w:tr>
      <w:tr>
        <w:tblPrEx/>
        <w:trPr>
          <w:trHeight w:val="438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8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16" w:type="dxa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both"/>
              <w:rPr>
                <w:b w:val="0"/>
                <w:bCs w:val="0"/>
                <w:highlight w:val="none"/>
                <w:u w:val="single"/>
              </w:rPr>
            </w:pPr>
            <w:r>
              <w:rPr>
                <w:b w:val="0"/>
                <w:bCs w:val="0"/>
                <w:spacing w:val="-2"/>
              </w:rPr>
              <w:t xml:space="preserve">Сведения о правообладателе инженерного сооружения, которое переносится в связи </w:t>
            </w:r>
            <w:r>
              <w:rPr>
                <w:b w:val="0"/>
                <w:bCs w:val="0"/>
                <w:spacing w:val="-2"/>
              </w:rPr>
              <w:br/>
              <w:t xml:space="preserve">с изъятием земельного участка для государственных или муниципальных нужд, а также </w:t>
            </w:r>
            <w:r>
              <w:rPr>
                <w:b w:val="0"/>
                <w:bCs w:val="0"/>
                <w:spacing w:val="-2"/>
              </w:rPr>
              <w:br/>
              <w:t xml:space="preserve">о правообладателе инженерного сооружения, являющегося линейным объектом, реконстр</w:t>
            </w:r>
            <w:r>
              <w:rPr>
                <w:b w:val="0"/>
                <w:bCs w:val="0"/>
                <w:spacing w:val="-2"/>
              </w:rPr>
              <w:t xml:space="preserve">укция, капитальный ремонт которого (реконструкция, капитальный ремонт участков (частей) которого) осуществляются в связи с планируемым строительством, реконструкцией, капитальным ремонтом объектов капитального строительства, в случае, если заявитель не явл</w:t>
            </w:r>
            <w:r>
              <w:rPr>
                <w:b w:val="0"/>
                <w:bCs w:val="0"/>
                <w:spacing w:val="-2"/>
              </w:rPr>
              <w:t xml:space="preserve">яется правообладателем указанного инженерного сооружения (в данном случае указываются сведения в объеме, предусмотренном строкой 2 настоящей формы) (заполняется в случае, если ходатайство об установлении публичного сервитута подается с целью установления п</w:t>
            </w:r>
            <w:r>
              <w:rPr>
                <w:b w:val="0"/>
                <w:bCs w:val="0"/>
                <w:spacing w:val="-2"/>
              </w:rPr>
              <w:t xml:space="preserve">у</w:t>
            </w:r>
            <w:r>
              <w:rPr>
                <w:b w:val="0"/>
                <w:bCs w:val="0"/>
                <w:spacing w:val="-2"/>
              </w:rPr>
              <w:t xml:space="preserve">бличного сервитута в целях реконструкции инженерного сооружения, являющегося линейным объектом, реконструкции его участка (части), которое переносится </w:t>
              <w:br/>
              <w:t xml:space="preserve">в связи с изъятием такого земельного участка для государственных или муниципальных нужд, а также если хо</w:t>
            </w:r>
            <w:r>
              <w:rPr>
                <w:b w:val="0"/>
                <w:bCs w:val="0"/>
                <w:spacing w:val="-2"/>
              </w:rPr>
              <w:t xml:space="preserve">датайство об установлении публичного сервитута подается с целью установления публичного сервитута в целях реконструкции, капитального ремонта инженерного сооружения, являющегося линейным объектом, реконструкции, капитального ремонта его участков (частей): </w:t>
            </w:r>
            <w:r>
              <w:rPr>
                <w:b w:val="0"/>
                <w:bCs w:val="0"/>
                <w:spacing w:val="-2"/>
                <w:u w:val="single"/>
              </w:rPr>
              <w:t xml:space="preserve">                   -         </w:t>
            </w:r>
            <w:r>
              <w:rPr>
                <w:b w:val="0"/>
                <w:bCs w:val="0"/>
                <w:u w:val="single"/>
              </w:rPr>
              <w:t xml:space="preserve">        .</w:t>
            </w:r>
            <w:r>
              <w:rPr>
                <w:b w:val="0"/>
                <w:bCs w:val="0"/>
                <w:highlight w:val="none"/>
                <w:u w:val="single"/>
              </w:rPr>
            </w:r>
            <w:r>
              <w:rPr>
                <w:b w:val="0"/>
                <w:bCs w:val="0"/>
                <w:highlight w:val="none"/>
                <w:u w:val="single"/>
              </w:rPr>
            </w:r>
          </w:p>
          <w:p>
            <w:pPr>
              <w:pStyle w:val="913"/>
              <w:contextualSpacing/>
              <w:ind w:firstLine="102"/>
              <w:jc w:val="both"/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highlight w:val="none"/>
                <w:u w:val="single"/>
              </w:rPr>
            </w:r>
            <w:r>
              <w:rPr>
                <w:b w:val="0"/>
                <w:bCs w:val="0"/>
                <w:highlight w:val="none"/>
                <w:u w:val="single"/>
              </w:rPr>
            </w:r>
            <w:r>
              <w:rPr>
                <w:b w:val="0"/>
                <w:bCs w:val="0"/>
                <w:u w:val="single"/>
              </w:rPr>
            </w:r>
          </w:p>
        </w:tc>
      </w:tr>
      <w:tr>
        <w:tblPrEx/>
        <w:trPr>
          <w:trHeight w:val="721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9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15" w:type="dxa"/>
            <w:vMerge w:val="restart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Кадастровые номера земельных участков, в отношении которых подано ходатайство об установлении публичного сервитута, адреса или иное описание местоположения таких </w:t>
            </w:r>
            <w:r>
              <w:rPr>
                <w:b w:val="0"/>
                <w:bCs w:val="0"/>
                <w:sz w:val="24"/>
                <w:szCs w:val="24"/>
              </w:rPr>
              <w:t xml:space="preserve">земельных участков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Кадастровый номер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57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земельного участка (кадастрового квартала)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Адрес земельного участка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721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34:00:000000:70297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обл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. Волгоградская, г. Волгоград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ЕЗ 34:03:000000:6</w:t>
            </w:r>
            <w:r>
              <w:rPr>
                <w:b w:val="0"/>
                <w:bCs w:val="0"/>
                <w:sz w:val="24"/>
                <w:szCs w:val="24"/>
              </w:rPr>
              <w:t xml:space="preserve"> (обособленные земельные участки</w:t>
            </w:r>
            <w:r>
              <w:rPr>
                <w:b w:val="0"/>
                <w:bCs w:val="0"/>
                <w:sz w:val="24"/>
                <w:szCs w:val="24"/>
              </w:rPr>
              <w:t xml:space="preserve">:</w:t>
            </w:r>
            <w:r>
              <w:rPr>
                <w:b w:val="0"/>
                <w:bCs w:val="0"/>
                <w:sz w:val="24"/>
                <w:szCs w:val="24"/>
              </w:rPr>
              <w:t xml:space="preserve"> 34:03:000000:22874, 34:03:150005:167, 34:03:150005:170)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обл. Волгоградская, р-н Городищенский, участок находится примерно в 17 км по направлению на северо-восток от ориентира р. п. Городище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ЕЗ </w:t>
            </w:r>
            <w:r>
              <w:rPr>
                <w:b w:val="0"/>
                <w:bCs w:val="0"/>
                <w:sz w:val="24"/>
                <w:szCs w:val="24"/>
              </w:rPr>
              <w:t xml:space="preserve">34:03:000000:9</w:t>
            </w:r>
            <w:r>
              <w:rPr>
                <w:b w:val="0"/>
                <w:bCs w:val="0"/>
                <w:sz w:val="24"/>
                <w:szCs w:val="24"/>
              </w:rPr>
              <w:t xml:space="preserve"> (обособленны</w:t>
            </w:r>
            <w:r>
              <w:rPr>
                <w:b w:val="0"/>
                <w:bCs w:val="0"/>
                <w:sz w:val="24"/>
                <w:szCs w:val="24"/>
              </w:rPr>
              <w:t xml:space="preserve">й</w:t>
            </w:r>
            <w:r>
              <w:rPr>
                <w:b w:val="0"/>
                <w:bCs w:val="0"/>
                <w:sz w:val="24"/>
                <w:szCs w:val="24"/>
              </w:rPr>
              <w:t xml:space="preserve"> земельны</w:t>
            </w:r>
            <w:r>
              <w:rPr>
                <w:b w:val="0"/>
                <w:bCs w:val="0"/>
                <w:sz w:val="24"/>
                <w:szCs w:val="24"/>
              </w:rPr>
              <w:t xml:space="preserve">й</w:t>
            </w:r>
            <w:r>
              <w:rPr>
                <w:b w:val="0"/>
                <w:bCs w:val="0"/>
                <w:sz w:val="24"/>
                <w:szCs w:val="24"/>
              </w:rPr>
              <w:t xml:space="preserve"> участ</w:t>
            </w:r>
            <w:r>
              <w:rPr>
                <w:b w:val="0"/>
                <w:bCs w:val="0"/>
                <w:sz w:val="24"/>
                <w:szCs w:val="24"/>
              </w:rPr>
              <w:t xml:space="preserve">о</w:t>
            </w:r>
            <w:r>
              <w:rPr>
                <w:b w:val="0"/>
                <w:bCs w:val="0"/>
                <w:sz w:val="24"/>
                <w:szCs w:val="24"/>
              </w:rPr>
              <w:t xml:space="preserve">к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34:03:200003:19)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обл. Волгоградская, р-н Городищенский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ЕЗ </w:t>
            </w:r>
            <w:r>
              <w:rPr>
                <w:b w:val="0"/>
                <w:bCs w:val="0"/>
                <w:sz w:val="24"/>
                <w:szCs w:val="24"/>
              </w:rPr>
              <w:t xml:space="preserve">34:03:000000:18</w:t>
            </w:r>
            <w:r>
              <w:rPr>
                <w:b w:val="0"/>
                <w:bCs w:val="0"/>
                <w:sz w:val="24"/>
                <w:szCs w:val="24"/>
              </w:rPr>
              <w:t xml:space="preserve"> (</w:t>
            </w:r>
            <w:r>
              <w:rPr>
                <w:b w:val="0"/>
                <w:bCs w:val="0"/>
                <w:sz w:val="24"/>
                <w:szCs w:val="24"/>
              </w:rPr>
              <w:t xml:space="preserve">обособленный земельный участок </w:t>
            </w:r>
            <w:r>
              <w:rPr>
                <w:b w:val="0"/>
                <w:bCs w:val="0"/>
                <w:sz w:val="24"/>
                <w:szCs w:val="24"/>
              </w:rPr>
              <w:t xml:space="preserve">34:03:110002:1)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обл. Волгоградская, р-н Городищенский, участок км 942 - км 949 автомагистрали Москва-Волгоград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ЕЗ </w:t>
            </w:r>
            <w:r>
              <w:rPr>
                <w:b w:val="0"/>
                <w:bCs w:val="0"/>
                <w:sz w:val="24"/>
                <w:szCs w:val="24"/>
              </w:rPr>
              <w:t xml:space="preserve">34:03:000000:20</w:t>
            </w:r>
            <w:r>
              <w:rPr>
                <w:b w:val="0"/>
                <w:bCs w:val="0"/>
                <w:sz w:val="24"/>
                <w:szCs w:val="24"/>
              </w:rPr>
              <w:t xml:space="preserve"> (</w:t>
            </w:r>
            <w:r>
              <w:rPr>
                <w:b w:val="0"/>
                <w:bCs w:val="0"/>
                <w:sz w:val="24"/>
                <w:szCs w:val="24"/>
              </w:rPr>
              <w:t xml:space="preserve">обособленные земе</w:t>
            </w:r>
            <w:r>
              <w:rPr>
                <w:b w:val="0"/>
                <w:bCs w:val="0"/>
                <w:sz w:val="24"/>
                <w:szCs w:val="24"/>
              </w:rPr>
              <w:t xml:space="preserve">льные участки: </w:t>
            </w:r>
            <w:r>
              <w:rPr>
                <w:b w:val="0"/>
                <w:bCs w:val="0"/>
                <w:sz w:val="24"/>
                <w:szCs w:val="24"/>
              </w:rPr>
              <w:t xml:space="preserve">34:03:150005:9, </w:t>
            </w:r>
            <w:r>
              <w:rPr>
                <w:b w:val="0"/>
                <w:bCs w:val="0"/>
                <w:sz w:val="24"/>
                <w:szCs w:val="24"/>
              </w:rPr>
              <w:t xml:space="preserve">34:03:110002:5</w:t>
            </w:r>
            <w:r>
              <w:rPr>
                <w:b w:val="0"/>
                <w:bCs w:val="0"/>
                <w:sz w:val="24"/>
                <w:szCs w:val="24"/>
              </w:rPr>
              <w:t xml:space="preserve">)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обл. Волгоградская, р-н Городищенский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ЕЗ </w:t>
            </w:r>
            <w:r>
              <w:rPr>
                <w:b w:val="0"/>
                <w:bCs w:val="0"/>
                <w:sz w:val="24"/>
                <w:szCs w:val="24"/>
              </w:rPr>
              <w:t xml:space="preserve">34:03:000000:21</w:t>
            </w:r>
            <w:r>
              <w:rPr>
                <w:b w:val="0"/>
                <w:bCs w:val="0"/>
                <w:sz w:val="24"/>
                <w:szCs w:val="24"/>
              </w:rPr>
              <w:t xml:space="preserve"> (обособленны</w:t>
            </w:r>
            <w:r>
              <w:rPr>
                <w:b w:val="0"/>
                <w:bCs w:val="0"/>
                <w:sz w:val="24"/>
                <w:szCs w:val="24"/>
              </w:rPr>
              <w:t xml:space="preserve">й</w:t>
            </w:r>
            <w:r>
              <w:rPr>
                <w:b w:val="0"/>
                <w:bCs w:val="0"/>
                <w:sz w:val="24"/>
                <w:szCs w:val="24"/>
              </w:rPr>
              <w:t xml:space="preserve"> земельны</w:t>
            </w:r>
            <w:r>
              <w:rPr>
                <w:b w:val="0"/>
                <w:bCs w:val="0"/>
                <w:sz w:val="24"/>
                <w:szCs w:val="24"/>
              </w:rPr>
              <w:t xml:space="preserve">й </w:t>
            </w:r>
            <w:r>
              <w:rPr>
                <w:b w:val="0"/>
                <w:bCs w:val="0"/>
                <w:sz w:val="24"/>
                <w:szCs w:val="24"/>
              </w:rPr>
              <w:t xml:space="preserve">участ</w:t>
            </w:r>
            <w:r>
              <w:rPr>
                <w:b w:val="0"/>
                <w:bCs w:val="0"/>
                <w:sz w:val="24"/>
                <w:szCs w:val="24"/>
              </w:rPr>
              <w:t xml:space="preserve">ок </w:t>
            </w:r>
            <w:r>
              <w:rPr>
                <w:b w:val="0"/>
                <w:bCs w:val="0"/>
                <w:sz w:val="24"/>
                <w:szCs w:val="24"/>
              </w:rPr>
              <w:t xml:space="preserve">34:03:000000:546</w:t>
            </w:r>
            <w:r>
              <w:rPr>
                <w:b w:val="0"/>
                <w:bCs w:val="0"/>
                <w:sz w:val="24"/>
                <w:szCs w:val="24"/>
              </w:rPr>
              <w:t xml:space="preserve">)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обл. Волгоградская, р-н Городищенский, автомобильная дорога Волгоград-Каменск-Шахтинский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34:03:000000:170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обл. Волгоградская, р-н Городищенский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1112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ЕЗ </w:t>
            </w:r>
            <w:r>
              <w:rPr>
                <w:b w:val="0"/>
                <w:bCs w:val="0"/>
                <w:sz w:val="24"/>
                <w:szCs w:val="24"/>
              </w:rPr>
              <w:t xml:space="preserve">34:03:000000:296</w:t>
            </w:r>
            <w:r>
              <w:rPr>
                <w:b w:val="0"/>
                <w:bCs w:val="0"/>
                <w:sz w:val="24"/>
                <w:szCs w:val="24"/>
              </w:rPr>
              <w:t xml:space="preserve"> (</w:t>
            </w:r>
            <w:r>
              <w:rPr>
                <w:b w:val="0"/>
                <w:bCs w:val="0"/>
                <w:sz w:val="24"/>
                <w:szCs w:val="24"/>
              </w:rPr>
              <w:t xml:space="preserve">обособленный земельный участок </w:t>
            </w:r>
            <w:r>
              <w:rPr>
                <w:b w:val="0"/>
                <w:bCs w:val="0"/>
                <w:sz w:val="24"/>
                <w:szCs w:val="24"/>
              </w:rPr>
              <w:t xml:space="preserve">34:03:180004:</w:t>
            </w:r>
            <w:r>
              <w:rPr>
                <w:b w:val="0"/>
                <w:bCs w:val="0"/>
                <w:sz w:val="24"/>
                <w:szCs w:val="24"/>
              </w:rPr>
              <w:t xml:space="preserve">92</w:t>
            </w:r>
            <w:r>
              <w:rPr>
                <w:b w:val="0"/>
                <w:bCs w:val="0"/>
                <w:sz w:val="24"/>
                <w:szCs w:val="24"/>
              </w:rPr>
              <w:t xml:space="preserve">, 34:03:220004:19</w:t>
            </w:r>
            <w:r>
              <w:rPr>
                <w:b w:val="0"/>
                <w:bCs w:val="0"/>
                <w:sz w:val="24"/>
                <w:szCs w:val="24"/>
              </w:rPr>
              <w:t xml:space="preserve">)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обл. Волгоградская, р-н Городищенский, в 0,8 км</w:t>
            </w:r>
            <w:r>
              <w:rPr>
                <w:b w:val="0"/>
                <w:bCs w:val="0"/>
                <w:sz w:val="24"/>
                <w:szCs w:val="24"/>
              </w:rPr>
              <w:t xml:space="preserve">.</w:t>
            </w:r>
            <w:r>
              <w:rPr>
                <w:b w:val="0"/>
                <w:bCs w:val="0"/>
                <w:sz w:val="24"/>
                <w:szCs w:val="24"/>
              </w:rPr>
              <w:t xml:space="preserve"> севернее </w:t>
            </w:r>
            <w:r>
              <w:rPr>
                <w:b w:val="0"/>
                <w:bCs w:val="0"/>
                <w:sz w:val="24"/>
                <w:szCs w:val="24"/>
              </w:rPr>
              <w:t xml:space="preserve">р.п</w:t>
            </w:r>
            <w:r>
              <w:rPr>
                <w:b w:val="0"/>
                <w:bCs w:val="0"/>
                <w:sz w:val="24"/>
                <w:szCs w:val="24"/>
              </w:rPr>
              <w:t xml:space="preserve">.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Гумрак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ЕЗ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34:03:000000:342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(обособленные земельные участки: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34:03:180004:130, 34:03:180004:131)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34:03:000000:344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ЕЗ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34:03:000000:345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(обособленные земельные участки: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34:03:110002:111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34:34:150005:72,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34:03:150005:73,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34:03:130006:200)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ЕЗ </w:t>
            </w:r>
            <w:r>
              <w:rPr>
                <w:b w:val="0"/>
                <w:bCs w:val="0"/>
                <w:sz w:val="24"/>
                <w:szCs w:val="24"/>
              </w:rPr>
              <w:t xml:space="preserve">34:03:000000:381</w:t>
            </w:r>
            <w:r>
              <w:rPr>
                <w:b w:val="0"/>
                <w:bCs w:val="0"/>
                <w:sz w:val="24"/>
                <w:szCs w:val="24"/>
              </w:rPr>
              <w:t xml:space="preserve"> (обособленные земельные участки: 34:03:000000:22352, 34:03:000000:22357</w:t>
            </w:r>
            <w:r>
              <w:rPr>
                <w:b w:val="0"/>
                <w:bCs w:val="0"/>
                <w:sz w:val="24"/>
                <w:szCs w:val="24"/>
              </w:rPr>
              <w:t xml:space="preserve">,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34:03:220005:6257</w:t>
            </w:r>
            <w:r>
              <w:rPr>
                <w:b w:val="0"/>
                <w:bCs w:val="0"/>
                <w:sz w:val="24"/>
                <w:szCs w:val="24"/>
              </w:rPr>
              <w:t xml:space="preserve">)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обл. Волгоградская, р-н Городищенский, участок находится примерно в 28 км по направлению на северо-запад от ориентира </w:t>
            </w:r>
            <w:r>
              <w:rPr>
                <w:b w:val="0"/>
                <w:bCs w:val="0"/>
                <w:sz w:val="24"/>
                <w:szCs w:val="24"/>
              </w:rPr>
              <w:t xml:space="preserve">р.п</w:t>
            </w:r>
            <w:r>
              <w:rPr>
                <w:b w:val="0"/>
                <w:bCs w:val="0"/>
                <w:sz w:val="24"/>
                <w:szCs w:val="24"/>
              </w:rPr>
              <w:t xml:space="preserve">. Городище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ЕЗ </w:t>
            </w:r>
            <w:r>
              <w:rPr>
                <w:b w:val="0"/>
                <w:bCs w:val="0"/>
                <w:sz w:val="24"/>
                <w:szCs w:val="24"/>
              </w:rPr>
              <w:t xml:space="preserve">34:03:000000:479</w:t>
            </w:r>
            <w:r>
              <w:rPr>
                <w:b w:val="0"/>
                <w:bCs w:val="0"/>
                <w:sz w:val="24"/>
                <w:szCs w:val="24"/>
              </w:rPr>
              <w:t xml:space="preserve"> (обособленный земельный участок 34:03:200007:155)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обл. Волгоградская, р-н Городищенский, территория администрации Новорогачинского городского поселения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34:03:000000:553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обл. Волгоградская, р-н Городищенский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34:03:000000:555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обл. Волгоградская, р-н Городищенский, территория администрации Новонадеждинского сельского поселения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34:03:000000:571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34:03:000000:608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обл. Волгоградская, р-н Городищенский, в границах Городищенского муниципального района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34:03:000000:609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обл. Волгоградская, р-н Городищенский, в границах Городищенского муниципального района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57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34:03:000000:17609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34:03:000000:17617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обл., Городищенский р-н, Волгоградское лесничество, Городищенское участковое лесничество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34:03:000000:17686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г. Волгоград, р-н Советский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34:03:000000:20600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Россошенского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и Краснопахаревского сельских поселений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34:03:000000:20734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обл., Городищенский р-н, Волгоградское лесничество, Городищенское участковое лесничество, квартал В31, часть выдела 4, часть выдела 5, часть выдела 11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34:03:000000:21068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Новонадежденского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34:03:000000:21178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р.п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Новый Рогачик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34:03:000000:21217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Волгоградское лесничество, Городищенское участковое лесничество, квартала В 31, части выделов 4, 11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34:03:000000:22197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Российская Федерация, обл. Волгоградская, р-н Городищенский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34:03:000000:22480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Волгоградская, Городищенский р-н,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34:03:000000:22671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в границах Городищенского муниципального района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34:03:000000:22672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в границах Городищенского муниципального района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34:03:000000:22686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обл., Городищенский р-н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34:03:110002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обл., Городищенский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м.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р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-н,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Кузьмичевское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34:03:110002:269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п.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Кузьмичи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, участок находится примерно в 3,6 км, по направлению на юго-запад от ориентира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34:03:110002:282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Кузьмичевского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34:03:110002:581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обл., Городищенский р-н,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Кузьмичевское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34:03:120006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обл., Городищенский р-н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34:03:120006:128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участок находится примерно в 5.5. км по направлению на северо-запад от ориентира п. Гумрак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34:03:120006:179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12 км. западнее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р.п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Городище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34:03:130006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обл., Городищенский р-н.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34:03:130006:11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для размещения производственной базы (Управление материально-технического снабжения и комплектации ООО "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Волгоградтрансгаз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")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34:03:130006:292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область, р-н. Городищенский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34:03:130006:530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г. Волгоград,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р.п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Гумрак, ш. Авиаторов, 133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34:03:130006:683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Городищенское городское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34:03:130006:968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г. Волгоград, Дзержинский район, на 0.5 км севернее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р.п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Гумрак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34:03:130006:1640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Орловского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34:03:130006:1713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область, Городищенский р-н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34:03:150005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обл., Городищенский р-н,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Новожизненское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34:03:150005:5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участок км.942-км.949 автомагистрали Москва-Волгоград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34:03:150005:8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р. п. Гумрак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34:03:150005:900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34:03:160002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обл., Городищенский р-н, Ново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надеждин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ское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34:03:160002:9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обл., р-н Городищенский, Новонадеждинское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34:03:160002:144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Новонадеждинского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34:03:160002:155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Новонадеждинского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34:03:160002:209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Новонадеждинского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ind w:firstLine="102"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34:03:160002:231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Новонадеждинское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34:03:160002:236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обл., р-н Городищенский, территория администрации Новонадеждинского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34:03:160002:258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Новонадеждинского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ЕЗ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34:03:160002:521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(обособленные земельные участки: 34:03:160002:522, 34:03:160002:523, 34:03:160002:544, 34:03:160002:545, 34:03:160002:546, 34:03:160002:547)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в 1.2 км. на юго-восток от п. Новая Надежда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ЕЗ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34:03:160002:550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(обособленные земельные участки: 34:03:160002:551, 34:03:160002:552, 34:03:160002:553)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Новонадеждинского сельского поселения, в 1,2 км юго-восточнее п. Новая Надежда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34:03:160002:739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Новонадеждинского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34:03:160002:770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Новонадеждинского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61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34:03:160002:1007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60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34:03:160003:163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Новонадеждинского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60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34:03:160004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обл.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, Городищенский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м.р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-н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, Новонадеждинско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сельско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поселени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60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34:03:160004:3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Новонадеждинского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34:03:160004:8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Новонадеждинского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34:03:160004:17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Новонадеждинского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8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34:03:160004:327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Российская Федерация, Волгоградская область, м. р-н Городищенский,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с.п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Новонадеждинское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131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34:03:160004:137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Новонадеждинского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34:03:160004:181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Новонадеждинское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обл., Городищенский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м.р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-н,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Краснопахаревское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34:03:180004:6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34:03:180004:45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34:03:180004:46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34:03:180004:47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34:03:180004:48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34:03:180004:56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34:03:180004:57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34:03:180004:58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34:03:180004:628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34:03:180004:832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ЕЗ 34:03:180004:840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(обособленные земельные участки: 34:03:180004:823,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34:03:180004:82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4, 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34:03:180004:82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5,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34:03:180004:82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6, 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34:03:180004:82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7) 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Краснопахаревского сельского поселения, в 0,5 км северо-западнее п. Горьковский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34:03:180004:909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34:03:180004:913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34:03:180004:914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34:03:180004:954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34:03:180004:964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34:03:180004:966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34:03:180004:973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34:03:180004:1011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34:03:180004:1018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34:03:180004:1024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34:03:180004:1101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34:03:180004:1132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34:03:180004:1133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34:03:180004:1134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34:03:180004:1153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обл., Городищенский р-н, Волгоградское лесничество, Городищенское участковое лесничество, квартал В31, часть выдела 4, часть выдела 5, часть выдела 11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34:03:180004:1156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34:03:180004:1158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34:03:180004:1198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34:03:180004:1213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34:03:180004:1214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34:03:180004:1215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 с/п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Краснопахаревское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34:03:180004:1223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х. Красный Пахарь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65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34:03:180004:1224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х. Красный Пахарь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34:03:180004:1227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х. Красный Пахарь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34:03:180004:1229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х. Красный Пахарь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34:03:180004:1239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Краснопахаревское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34:03:180004:1470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р-н. Городищенский, тер. администрации Краснопахаревского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34:03:180004:1471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р-н. Городищенский, тер. с/п. Краснопахаревского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34:03:180004:1497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администрации,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34:03:180004:1562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р-н. Городищенский, территория администрации Краснопахаревского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34:03:180004:1564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р-н. Городищенский,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х. Красный Пахарь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34:03:180004:1565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р-н. Городищенский,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х. Красный Пахарь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34:03:180004:1566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Российская Федерация, Волгоградская область,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м.р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-н Городищенский,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с.п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Краснопахаревское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х Красный Пахарь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34:03:180004:1568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р-н. Городищенский,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х. Красный Пахарь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34:03:180004:1570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р-н. Городищенский,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х. Красный Пахарь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34:03:180004:1572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область,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м.р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-н Городищенский,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с.п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Краснопахаревское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34:03:180004:1579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Российская Федерация,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34:03:180004:1580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Российская Федерация, 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34:03:180004:1588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район Городищенский, хутор Красный Пахарь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34:03:180004:1622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Краснопахаревского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34:03:200007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обл., Городищенский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м.р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-н,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Новорогачинское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городское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34:03:200007:146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Городищенский, территория администрации Новорогачинского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34:03:220004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обл., Городищенский р-н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ЕЗ 34:03:220004:41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(обособленный земельный участок 34:03:220004:40)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г. Волгоград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34:03:220004:425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Местоположение установлено относительно ориентира, расположенного за пределами участка. Ориентир обл. Волгоградская, р-н Городищенский,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р.п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Городище. Почтовый адрес ориентира: Волгоградская область, р-н. Городищенский.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34:03:220005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обл., городской округ город-герой Волгоград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34:03:220005:5645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г. Волгоград 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34:03:220005:5646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г. Волгоград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34:03:220005:5647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г. Волгоград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34:03:220005:5650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г. Волгоград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34:03:220005:5652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г. Волгоград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34:03:220005:5653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г. Волгоград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34:03:220005:5657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г. Волгоград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34:03:220005:5830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г. Волгоград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ЕЗ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34:26:000000:27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(обособленный земельный участок 34:26:050201:2) 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Волгоградская. р-н Светлоярский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ЕЗ 34:26:000000:167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(обособленные земельные участки: 34:26:050301:33, 34:26:050301:35, 34:26:050301:38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)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расположен в административных границах Кировского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ЕЗ 34:26:000000:171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(обособленные земельные участки: 34:26:050302:48, 34:26:050302:49, 34:26:050302:51, 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расположен в административных границах Кировского и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Большечапурниковского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ЕЗ 34:26:000000:188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(обособленный земельный участок 34:26:050301:685)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34:26:000000:46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область, м. р-н Светлоярский, Волгоградское лесничество, Городищенское участковое лесничество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34:26:000000:93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34:26:000000:168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расположен в административных границах Кировского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34:26:000000:279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34:26:000000:4417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Российская Федерация, Волгоградская область, м. р-н Светлоярский,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с.п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Кировское,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п Кирова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34:26:000000:4478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р-н. Светлоярский, в административных границах Кировского сельского поселения (бывшее ТОО "Пригородное")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ЕЗ 34:26:000000:190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(обособленные земельные участки: 34:26:050301:857, 34:26:050301:868, 34:26:050301:869, 34:26:050301:870, 34:26:050301:871, 34:26:050301:872)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ЕЗ 34:26:000000:236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(обособленные земельные участки: 34:26:050301:756, 34:26:050301:757)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расположенного в административных границах Кировское сельское поселение Светлоярского муниципального района Волгоградской области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34:26:050101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обл., Светлоярский р-н, Кировское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34:26:050101:404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Кировское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34:26:050101:405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Кировское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34:26:050101:406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Кировское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34:26:050101:411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Кировское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34:26:050101:412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г. Волгоград,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с.п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Кировское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Кировское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34:26:050301:888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г. Волгоград, Красноармейский р-н городского округа города-героя Волгограда (ранее ТОО "Пригородное"), участок находится примерно в 4,2 км по направлению на запад от ориентира п. Заря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34:26:050301:889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на территории администрации Кировского сельского поселения в границах ранее ТОО "Пригородное", участок находится примерно в 9,0 км, по направлению на северо-запад от ориентира п. Кирова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34:26:050301:893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область, Светлоярский район, в 6,0 км на северо-запад от п. Кирова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34:26:050301:900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область, м. р-н Светлоярский, расположен в административных границах Кировского сельского поселения, в 4,9 км к северо-востоку от с. Ивановка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34:26:050301:903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Кировского сельского поселения, участок находится примерно в 4,2 км по направлению на северо-восток от ориентира с. Ивановка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34:26:050301:946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г. Волгоград, Кировский район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34:26:050301:1030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Кировское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34:26:050301:1280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34:26:050301:1297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Светлоярский р-н, Кировское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34:26:050301:1298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Светлоярский р-н, Кировское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34:26:050301:1299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Светлоярский р-н, Кировское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34:26:050301:1300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Светлоярский р-н, Кировское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34:26:050301:1302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Светлоярский р-н, Кировское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34:26:050301:1303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г. Волгоград,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с.п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Кировское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34:26:050301:1304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Светлоярский р-н, Кировское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34:26:050301:1307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Кировское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34:26:050301:1321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Кировское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34:26:050301:1327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обл., Светлоярский р-н, расположен в административных границах Кировского сельского поселения (бывшее ТОО "Пригородное")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34:26:050301:1396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Светлоярский р-н, Кировское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34:26:050301:1397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Кировское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34:26:050301:1398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Кировское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34:26:050301:1399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Кировское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34:26:050301:1400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Кировское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34:26:050301:1410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г. Волгоград,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с.п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. Кировское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34:26:050302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обл., Светлоярский р-н, Кировское сельское поселение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34:26:050302:12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в административных границах Кировского и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Большечапурниковского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34:26:050302:13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область, Светлоярский район, п. Кирова, в административных границах Кировского сельсовета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34:26:050302:127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участок находится примерно в 7.0 км по направлению на северо-запад от ориентира п. Кирова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34:26:050302:183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г. Волгоград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34:26:050302:218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р-он Светлоярский, расположен в административных границах Кировского сельского поселения (бывшее ТОО "Пригородное)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34:26:050302:253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обл. Волгоградская, р-н Светлоярский, в административных границах Кировского сельского поселения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15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3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34:26:050302:554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Волгоградская область, Светлоярский р-н, прилегает к земельному участку с кадастровым номером 34:26:050302:484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10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16" w:type="dxa"/>
            <w:textDirection w:val="lrTb"/>
            <w:noWrap w:val="false"/>
          </w:tcPr>
          <w:p>
            <w:pPr>
              <w:pStyle w:val="913"/>
              <w:contextualSpacing/>
              <w:ind w:left="0" w:right="0" w:firstLine="244"/>
              <w:jc w:val="both"/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</w:rPr>
              <w:t xml:space="preserve">Право, на котором инженерное сооружение принадлежит заявителю (если под</w:t>
            </w:r>
            <w:r>
              <w:rPr>
                <w:b w:val="0"/>
                <w:bCs w:val="0"/>
              </w:rPr>
              <w:t xml:space="preserve">ано ходатайство об установлении публичного сервитута для реконструкции, капитального ремонта или эксплуатации указанного инженерного сооружения, реконструкции или капитального ремонта участка (части) инженерного сооружения, являющегося линейным объектом): </w:t>
            </w:r>
            <w:r>
              <w:rPr>
                <w:b w:val="0"/>
                <w:bCs w:val="0"/>
                <w:u w:val="single"/>
              </w:rPr>
              <w:t xml:space="preserve">Собственность</w:t>
            </w:r>
            <w:r>
              <w:rPr>
                <w:b w:val="0"/>
                <w:bCs w:val="0"/>
                <w:u w:val="single"/>
              </w:rPr>
            </w:r>
            <w:r>
              <w:rPr>
                <w:b w:val="0"/>
                <w:bCs w:val="0"/>
                <w:u w:val="singl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11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16" w:type="dxa"/>
            <w:textDirection w:val="lrTb"/>
            <w:noWrap w:val="false"/>
          </w:tcPr>
          <w:p>
            <w:pPr>
              <w:pStyle w:val="913"/>
              <w:contextualSpacing/>
              <w:ind w:left="142" w:firstLine="10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Сведения о способах представления результатов рассмотрения ходатайства: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38" w:type="dxa"/>
            <w:textDirection w:val="lrTb"/>
            <w:noWrap w:val="false"/>
          </w:tcPr>
          <w:p>
            <w:pPr>
              <w:pStyle w:val="913"/>
              <w:contextualSpacing/>
              <w:ind w:left="0" w:right="0" w:firstLine="24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 виде электронного документа, который направляется уполномоченным органом заявителю посредством электронной почты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913"/>
              <w:contextualSpacing/>
              <w:ind w:left="142" w:firstLine="102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_____</w:t>
            </w:r>
            <w:r>
              <w:rPr>
                <w:b w:val="0"/>
                <w:bCs w:val="0"/>
                <w:u w:val="single"/>
              </w:rPr>
              <w:t xml:space="preserve">да</w:t>
            </w:r>
            <w:r>
              <w:rPr>
                <w:b w:val="0"/>
                <w:bCs w:val="0"/>
              </w:rPr>
              <w:t xml:space="preserve">____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contextualSpacing/>
              <w:ind w:left="142" w:firstLine="102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(да/нет)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pStyle w:val="913"/>
              <w:contextualSpacing/>
              <w:jc w:val="center"/>
            </w:pPr>
            <w:r/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38" w:type="dxa"/>
            <w:textDirection w:val="lrTb"/>
            <w:noWrap w:val="false"/>
          </w:tcPr>
          <w:p>
            <w:pPr>
              <w:pStyle w:val="757"/>
              <w:ind w:left="0" w:right="0" w:firstLine="142"/>
              <w:jc w:val="both"/>
              <w:rPr>
                <w:b w:val="0"/>
                <w:bCs w:val="0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913"/>
              <w:contextualSpacing/>
              <w:ind w:left="142" w:firstLine="102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____</w:t>
            </w:r>
            <w:r>
              <w:rPr>
                <w:b w:val="0"/>
                <w:bCs w:val="0"/>
                <w:u w:val="single"/>
              </w:rPr>
              <w:t xml:space="preserve"> нет</w:t>
            </w:r>
            <w:r>
              <w:rPr>
                <w:b w:val="0"/>
                <w:bCs w:val="0"/>
              </w:rPr>
              <w:t xml:space="preserve">____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contextualSpacing/>
              <w:ind w:left="142" w:firstLine="102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(да/нет)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trHeight w:val="450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12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16" w:type="dxa"/>
            <w:textDirection w:val="lrTb"/>
            <w:noWrap w:val="false"/>
          </w:tcPr>
          <w:p>
            <w:pPr>
              <w:pStyle w:val="757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Документы, прилагаемые к ходатайству: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  <w:p>
            <w:pPr>
              <w:pStyle w:val="757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1. Описание местоположения границ публичного сервитута – в форматах *.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pdf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, *.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xml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;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  <w:p>
            <w:pPr>
              <w:pStyle w:val="757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2. Схема объектов публичного сервитута – в формате 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*.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dfx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;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  <w:p>
            <w:pPr>
              <w:pStyle w:val="757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3. Каталог координат объекта работ и проектных границ ПС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– в формате *.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xls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, </w:t>
            </w:r>
            <w:r>
              <w:rPr>
                <w:b w:val="0"/>
                <w:bCs w:val="0"/>
                <w:sz w:val="24"/>
                <w:szCs w:val="24"/>
              </w:rPr>
              <w:t xml:space="preserve">в форматах *.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 xml:space="preserve">mif</w:t>
            </w:r>
            <w:r>
              <w:rPr>
                <w:b w:val="0"/>
                <w:bCs w:val="0"/>
                <w:sz w:val="24"/>
                <w:szCs w:val="24"/>
              </w:rPr>
              <w:t xml:space="preserve">, *.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 xml:space="preserve">dxf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;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  <w:p>
            <w:pPr>
              <w:pStyle w:val="757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4. Выписка из Единого государственного реестра недвижимости об объекте недвижимости – в формате *.</w:t>
            </w:r>
            <w:r>
              <w:rPr>
                <w:b w:val="0"/>
                <w:bCs w:val="0"/>
                <w:sz w:val="24"/>
                <w:szCs w:val="24"/>
              </w:rPr>
              <w:t xml:space="preserve">pdf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;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  <w:p>
            <w:pPr>
              <w:pStyle w:val="757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5. Сведения ЕГРН в форме кадастровых планов территории 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– в формате *.</w:t>
            </w:r>
            <w:r>
              <w:rPr>
                <w:b w:val="0"/>
                <w:bCs w:val="0"/>
                <w:sz w:val="24"/>
                <w:szCs w:val="24"/>
                <w:lang w:val="en-US" w:eastAsia="en-US"/>
              </w:rPr>
              <w:t xml:space="preserve">xml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;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  <w:p>
            <w:pPr>
              <w:pStyle w:val="757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6. Выкопировка из схемы территориального планирования РФ – в формате *.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pdf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;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  <w:p>
            <w:pPr>
              <w:pStyle w:val="757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7. Сведения федерального фонда пространственных данных</w:t>
            </w:r>
            <w:r>
              <w:rPr>
                <w:b w:val="0"/>
                <w:bCs w:val="0"/>
                <w:sz w:val="24"/>
                <w:szCs w:val="24"/>
              </w:rPr>
              <w:t xml:space="preserve"> о </w:t>
            </w:r>
            <w:r>
              <w:rPr>
                <w:b w:val="0"/>
                <w:bCs w:val="0"/>
                <w:sz w:val="24"/>
                <w:szCs w:val="24"/>
              </w:rPr>
              <w:t xml:space="preserve">ЕЭКО 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– *</w:t>
            </w:r>
            <w:r>
              <w:rPr>
                <w:rFonts w:ascii="Times New Roman" w:hAnsi="Times New Roman" w:eastAsia="PT Astra Serif" w:cs="Times New Roman"/>
                <w:sz w:val="24"/>
                <w:szCs w:val="24"/>
              </w:rPr>
              <w:t xml:space="preserve">zip архив</w:t>
            </w:r>
            <w:r>
              <w:rPr>
                <w:rFonts w:ascii="Times New Roman" w:hAnsi="Times New Roman" w:eastAsia="PT Astra Serif" w:cs="Times New Roman"/>
                <w:sz w:val="24"/>
                <w:szCs w:val="24"/>
              </w:rPr>
              <w:t xml:space="preserve">;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  <w:p>
            <w:pPr>
              <w:pStyle w:val="757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8. Технический паспорт и технический план 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– в формате *.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pdf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;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  <w:p>
            <w:pPr>
              <w:pStyle w:val="757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9. Доверенность </w:t>
            </w:r>
            <w:r>
              <w:rPr>
                <w:b w:val="0"/>
                <w:bCs w:val="0"/>
                <w:sz w:val="24"/>
                <w:szCs w:val="24"/>
              </w:rPr>
              <w:t xml:space="preserve">№ 0</w:t>
            </w:r>
            <w:r>
              <w:rPr>
                <w:b w:val="0"/>
                <w:bCs w:val="0"/>
                <w:sz w:val="24"/>
                <w:szCs w:val="24"/>
              </w:rPr>
              <w:t xml:space="preserve">1/04/04-208д от 01.04.2024 (зарегистрировано в реестре № 78/98-н/78-2024-3-2063 </w:t>
            </w:r>
            <w:r>
              <w:rPr>
                <w:b w:val="0"/>
                <w:bCs w:val="0"/>
                <w:sz w:val="24"/>
                <w:szCs w:val="24"/>
              </w:rPr>
              <w:t xml:space="preserve">от 01.04.2024</w:t>
            </w:r>
            <w:r/>
            <w:r>
              <w:rPr>
                <w:b w:val="0"/>
                <w:bCs w:val="0"/>
                <w:sz w:val="24"/>
                <w:szCs w:val="24"/>
              </w:rPr>
              <w:t xml:space="preserve">)   </w:t>
            </w:r>
            <w:r>
              <w:rPr>
                <w:b w:val="0"/>
                <w:bCs w:val="0"/>
                <w:sz w:val="24"/>
                <w:szCs w:val="24"/>
              </w:rPr>
              <w:t xml:space="preserve">– в формате *.</w:t>
            </w:r>
            <w:r>
              <w:rPr>
                <w:b w:val="0"/>
                <w:bCs w:val="0"/>
                <w:sz w:val="24"/>
                <w:szCs w:val="24"/>
              </w:rPr>
              <w:t xml:space="preserve">pdf</w:t>
            </w:r>
            <w:r>
              <w:rPr>
                <w:b w:val="0"/>
                <w:bCs w:val="0"/>
                <w:sz w:val="24"/>
                <w:szCs w:val="24"/>
              </w:rPr>
              <w:t xml:space="preserve">;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  <w:p>
            <w:pPr>
              <w:pStyle w:val="757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10. Правоустанавливающие и правоудостоверяющие документы – в формате *.</w:t>
            </w:r>
            <w:r>
              <w:rPr>
                <w:b w:val="0"/>
                <w:bCs w:val="0"/>
                <w:sz w:val="24"/>
                <w:szCs w:val="24"/>
              </w:rPr>
              <w:t xml:space="preserve">pdf</w:t>
            </w:r>
            <w:r>
              <w:rPr>
                <w:b w:val="0"/>
                <w:bCs w:val="0"/>
                <w:sz w:val="24"/>
                <w:szCs w:val="24"/>
              </w:rPr>
              <w:t xml:space="preserve">;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  <w:p>
            <w:pPr>
              <w:pStyle w:val="757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11. Заключение кадастрового инженера – в формате *.</w:t>
            </w:r>
            <w:r>
              <w:rPr>
                <w:b w:val="0"/>
                <w:bCs w:val="0"/>
                <w:sz w:val="24"/>
                <w:szCs w:val="24"/>
              </w:rPr>
              <w:t xml:space="preserve">pdf</w:t>
            </w:r>
            <w:r>
              <w:rPr>
                <w:b w:val="0"/>
                <w:bCs w:val="0"/>
                <w:sz w:val="24"/>
                <w:szCs w:val="24"/>
              </w:rPr>
              <w:t xml:space="preserve">;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  <w:p>
            <w:pPr>
              <w:pStyle w:val="757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12. Технический отчет о ТГР – в формате *.</w:t>
            </w:r>
            <w:r>
              <w:rPr>
                <w:b w:val="0"/>
                <w:bCs w:val="0"/>
                <w:sz w:val="24"/>
                <w:szCs w:val="24"/>
              </w:rPr>
              <w:t xml:space="preserve">pdf</w:t>
            </w:r>
            <w:r>
              <w:rPr>
                <w:b w:val="0"/>
                <w:bCs w:val="0"/>
                <w:sz w:val="24"/>
                <w:szCs w:val="24"/>
              </w:rPr>
              <w:t xml:space="preserve">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</w:tc>
      </w:tr>
      <w:tr>
        <w:tblPrEx/>
        <w:trPr>
          <w:trHeight w:val="142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13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16" w:type="dxa"/>
            <w:textDirection w:val="lrTb"/>
            <w:noWrap w:val="false"/>
          </w:tcPr>
          <w:p>
            <w:pPr>
              <w:pStyle w:val="913"/>
              <w:contextualSpacing/>
              <w:ind w:left="0" w:right="0" w:firstLine="24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</w:t>
            </w:r>
            <w:r>
              <w:rPr>
                <w:b w:val="0"/>
                <w:bCs w:val="0"/>
              </w:rPr>
              <w:t xml:space="preserve">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trHeight w:val="119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14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16" w:type="dxa"/>
            <w:textDirection w:val="lrTb"/>
            <w:noWrap w:val="false"/>
          </w:tcPr>
          <w:p>
            <w:pPr>
              <w:pStyle w:val="913"/>
              <w:contextualSpacing/>
              <w:ind w:left="0" w:right="0" w:firstLine="24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Подтв</w:t>
            </w:r>
            <w:r>
              <w:rPr>
                <w:b w:val="0"/>
                <w:bCs w:val="0"/>
              </w:rPr>
              <w:t xml:space="preserve">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15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38" w:type="dxa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Подпись: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Дата: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trHeight w:val="12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pStyle w:val="913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54" w:type="dxa"/>
            <w:vAlign w:val="bottom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______________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contextualSpacing/>
              <w:ind w:firstLine="102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2"/>
              </w:rPr>
              <w:t xml:space="preserve">(подпись)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2484" w:type="dxa"/>
            <w:vAlign w:val="bottom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both"/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u w:val="single"/>
              </w:rPr>
            </w:r>
            <w:r>
              <w:rPr>
                <w:b w:val="0"/>
                <w:bCs w:val="0"/>
                <w:u w:val="single"/>
              </w:rPr>
            </w:r>
            <w:r>
              <w:rPr>
                <w:b w:val="0"/>
                <w:bCs w:val="0"/>
                <w:u w:val="single"/>
              </w:rPr>
            </w:r>
          </w:p>
          <w:p>
            <w:pPr>
              <w:pStyle w:val="913"/>
              <w:contextualSpacing/>
              <w:ind w:firstLine="102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u w:val="single"/>
              </w:rPr>
              <w:t xml:space="preserve">А.С. Харламов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contextualSpacing/>
              <w:ind w:firstLine="102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2"/>
              </w:rPr>
              <w:t xml:space="preserve">(инициалы, фамилия)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8" w:type="dxa"/>
            <w:vAlign w:val="center"/>
            <w:textDirection w:val="lrTb"/>
            <w:noWrap w:val="false"/>
          </w:tcPr>
          <w:p>
            <w:pPr>
              <w:pStyle w:val="913"/>
              <w:contextualSpacing/>
              <w:ind w:firstLine="102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contextualSpacing/>
              <w:ind w:firstLine="10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contextualSpacing/>
              <w:ind w:firstLine="10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13"/>
              <w:contextualSpacing/>
              <w:ind w:firstLine="102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«_____» ____________ 2026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</w:tbl>
    <w:p>
      <w:pPr>
        <w:contextualSpacing/>
        <w:spacing w:line="240" w:lineRule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lang w:val="en-US"/>
        </w:rPr>
      </w:r>
      <w:r>
        <w:rPr>
          <w:rFonts w:ascii="Times New Roman" w:hAnsi="Times New Roman" w:eastAsia="Times New Roman"/>
          <w:b w:val="0"/>
          <w:bCs w:val="0"/>
          <w:sz w:val="28"/>
          <w:szCs w:val="28"/>
          <w:highlight w:val="none"/>
          <w:lang w:eastAsia="ru-RU"/>
        </w:rPr>
        <w:t xml:space="preserve">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sectPr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021" w:right="851" w:bottom="1021" w:left="1021" w:header="709" w:footer="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0">
    <w:panose1 w:val="02000603000000000000"/>
  </w:font>
  <w:font w:name="Segoe UI">
    <w:panose1 w:val="020B0503020204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jc w:val="right"/>
      <w:rPr>
        <w:sz w:val="24"/>
        <w:szCs w:val="24"/>
      </w:rPr>
    </w:pPr>
    <w:r>
      <w:rPr>
        <w:sz w:val="24"/>
        <w:szCs w:val="24"/>
      </w:rPr>
      <w:t xml:space="preserve">Приложение к письму</w:t>
    </w:r>
    <w:r>
      <w:rPr>
        <w:sz w:val="24"/>
        <w:szCs w:val="24"/>
      </w:rPr>
    </w:r>
    <w:r>
      <w:rPr>
        <w:sz w:val="24"/>
        <w:szCs w:val="24"/>
      </w:rPr>
    </w:r>
  </w:p>
  <w:p>
    <w:pPr>
      <w:pStyle w:val="918"/>
      <w:jc w:val="right"/>
      <w:rPr>
        <w:sz w:val="24"/>
        <w:szCs w:val="24"/>
      </w:rPr>
    </w:pPr>
    <w:r>
      <w:rPr>
        <w:sz w:val="24"/>
        <w:szCs w:val="24"/>
      </w:rPr>
      <w:t xml:space="preserve">от «____» ______ 2026 № ______________</w:t>
    </w:r>
    <w:r>
      <w:rPr>
        <w:sz w:val="24"/>
        <w:szCs w:val="24"/>
      </w:rPr>
    </w:r>
    <w:r>
      <w:rPr>
        <w:sz w:val="24"/>
        <w:szCs w:val="24"/>
      </w:rPr>
    </w:r>
  </w:p>
  <w:p>
    <w:pPr>
      <w:pStyle w:val="91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36" w:hanging="360"/>
      </w:pPr>
      <w:rPr>
        <w:rFonts w:ascii="Times New Roman" w:hAnsi="Times New Roman" w:eastAsia="Calibri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20" w:hanging="360"/>
      </w:pPr>
      <w:rPr>
        <w:rFonts w:ascii="Wingdings" w:hAnsi="Wingdings" w:eastAsia="Wingdings" w:cs="Wingdings"/>
        <w:color w:val="0028f0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0" w:hanging="360"/>
        <w:tabs>
          <w:tab w:val="num" w:pos="0" w:leader="none"/>
        </w:tabs>
      </w:pPr>
      <w:rPr>
        <w:rFonts w:ascii="0" w:hAnsi="0"/>
        <w:sz w:val="20"/>
      </w:rPr>
    </w:lvl>
    <w:lvl w:ilvl="2">
      <w:start w:val="1"/>
      <w:numFmt w:val="lowerRoman"/>
      <w:isLgl w:val="false"/>
      <w:suff w:val="tab"/>
      <w:lvlText w:val="%3."/>
      <w:lvlJc w:val="right"/>
      <w:pPr>
        <w:ind w:left="0" w:hanging="180"/>
        <w:tabs>
          <w:tab w:val="num" w:pos="0" w:leader="none"/>
        </w:tabs>
      </w:pPr>
      <w:rPr>
        <w:rFonts w:ascii="0" w:hAnsi="0"/>
        <w:sz w:val="20"/>
      </w:rPr>
    </w:lvl>
    <w:lvl w:ilvl="3">
      <w:start w:val="1"/>
      <w:numFmt w:val="decimal"/>
      <w:isLgl w:val="false"/>
      <w:suff w:val="tab"/>
      <w:lvlText w:val="%4."/>
      <w:lvlJc w:val="left"/>
      <w:pPr>
        <w:ind w:left="0" w:hanging="360"/>
        <w:tabs>
          <w:tab w:val="num" w:pos="0" w:leader="none"/>
        </w:tabs>
      </w:pPr>
      <w:rPr>
        <w:rFonts w:ascii="0" w:hAnsi="0"/>
        <w:sz w:val="20"/>
      </w:rPr>
    </w:lvl>
    <w:lvl w:ilvl="4">
      <w:start w:val="1"/>
      <w:numFmt w:val="lowerLetter"/>
      <w:isLgl w:val="false"/>
      <w:suff w:val="tab"/>
      <w:lvlText w:val="%5."/>
      <w:lvlJc w:val="left"/>
      <w:pPr>
        <w:ind w:left="0" w:hanging="360"/>
        <w:tabs>
          <w:tab w:val="num" w:pos="0" w:leader="none"/>
        </w:tabs>
      </w:pPr>
      <w:rPr>
        <w:rFonts w:ascii="0" w:hAnsi="0"/>
        <w:sz w:val="20"/>
      </w:rPr>
    </w:lvl>
    <w:lvl w:ilvl="5">
      <w:start w:val="1"/>
      <w:numFmt w:val="lowerRoman"/>
      <w:isLgl w:val="false"/>
      <w:suff w:val="tab"/>
      <w:lvlText w:val="%6."/>
      <w:lvlJc w:val="right"/>
      <w:pPr>
        <w:ind w:left="0" w:hanging="180"/>
        <w:tabs>
          <w:tab w:val="num" w:pos="0" w:leader="none"/>
        </w:tabs>
      </w:pPr>
      <w:rPr>
        <w:rFonts w:ascii="0" w:hAnsi="0"/>
        <w:sz w:val="20"/>
      </w:rPr>
    </w:lvl>
    <w:lvl w:ilvl="6">
      <w:start w:val="1"/>
      <w:numFmt w:val="decimal"/>
      <w:isLgl w:val="false"/>
      <w:suff w:val="tab"/>
      <w:lvlText w:val="%7."/>
      <w:lvlJc w:val="left"/>
      <w:pPr>
        <w:ind w:left="0" w:hanging="360"/>
        <w:tabs>
          <w:tab w:val="num" w:pos="0" w:leader="none"/>
        </w:tabs>
      </w:pPr>
      <w:rPr>
        <w:rFonts w:ascii="0" w:hAnsi="0"/>
        <w:sz w:val="20"/>
      </w:rPr>
    </w:lvl>
    <w:lvl w:ilvl="7">
      <w:start w:val="1"/>
      <w:numFmt w:val="lowerLetter"/>
      <w:isLgl w:val="false"/>
      <w:suff w:val="tab"/>
      <w:lvlText w:val="%8."/>
      <w:lvlJc w:val="left"/>
      <w:pPr>
        <w:ind w:left="0" w:hanging="360"/>
        <w:tabs>
          <w:tab w:val="num" w:pos="0" w:leader="none"/>
        </w:tabs>
      </w:pPr>
      <w:rPr>
        <w:rFonts w:ascii="0" w:hAnsi="0"/>
        <w:sz w:val="20"/>
      </w:rPr>
    </w:lvl>
    <w:lvl w:ilvl="8">
      <w:start w:val="1"/>
      <w:numFmt w:val="lowerRoman"/>
      <w:isLgl w:val="false"/>
      <w:suff w:val="tab"/>
      <w:lvlText w:val="%9."/>
      <w:lvlJc w:val="right"/>
      <w:pPr>
        <w:ind w:left="0" w:hanging="180"/>
        <w:tabs>
          <w:tab w:val="num" w:pos="0" w:leader="none"/>
        </w:tabs>
      </w:pPr>
      <w:rPr>
        <w:rFonts w:ascii="0" w:hAnsi="0"/>
        <w:sz w:val="20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9" w:default="1">
    <w:name w:val="Normal"/>
    <w:qFormat/>
    <w:pPr>
      <w:spacing w:after="160" w:line="259" w:lineRule="auto"/>
    </w:pPr>
    <w:rPr>
      <w:sz w:val="28"/>
      <w:szCs w:val="28"/>
    </w:rPr>
  </w:style>
  <w:style w:type="paragraph" w:styleId="720">
    <w:name w:val="Heading 1"/>
    <w:basedOn w:val="719"/>
    <w:next w:val="719"/>
    <w:link w:val="74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21">
    <w:name w:val="Heading 2"/>
    <w:basedOn w:val="719"/>
    <w:next w:val="719"/>
    <w:link w:val="74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22">
    <w:name w:val="Heading 3"/>
    <w:basedOn w:val="719"/>
    <w:next w:val="719"/>
    <w:link w:val="75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3">
    <w:name w:val="Heading 4"/>
    <w:basedOn w:val="719"/>
    <w:next w:val="719"/>
    <w:link w:val="75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4">
    <w:name w:val="Heading 5"/>
    <w:basedOn w:val="719"/>
    <w:next w:val="719"/>
    <w:link w:val="75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5">
    <w:name w:val="Heading 6"/>
    <w:basedOn w:val="719"/>
    <w:next w:val="719"/>
    <w:link w:val="7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6">
    <w:name w:val="Heading 7"/>
    <w:basedOn w:val="719"/>
    <w:next w:val="719"/>
    <w:link w:val="7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7">
    <w:name w:val="Heading 8"/>
    <w:basedOn w:val="719"/>
    <w:next w:val="719"/>
    <w:link w:val="7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8">
    <w:name w:val="Heading 9"/>
    <w:basedOn w:val="719"/>
    <w:next w:val="719"/>
    <w:link w:val="75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9" w:default="1">
    <w:name w:val="Default Paragraph Font"/>
    <w:uiPriority w:val="1"/>
    <w:semiHidden/>
    <w:unhideWhenUsed/>
  </w:style>
  <w:style w:type="table" w:styleId="7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1" w:default="1">
    <w:name w:val="No List"/>
    <w:uiPriority w:val="99"/>
    <w:semiHidden/>
    <w:unhideWhenUsed/>
  </w:style>
  <w:style w:type="character" w:styleId="732" w:customStyle="1">
    <w:name w:val="Heading 1 Char"/>
    <w:basedOn w:val="729"/>
    <w:uiPriority w:val="9"/>
    <w:rPr>
      <w:rFonts w:ascii="Arial" w:hAnsi="Arial" w:eastAsia="Arial" w:cs="Arial"/>
      <w:sz w:val="40"/>
      <w:szCs w:val="40"/>
    </w:rPr>
  </w:style>
  <w:style w:type="character" w:styleId="733" w:customStyle="1">
    <w:name w:val="Heading 2 Char"/>
    <w:basedOn w:val="729"/>
    <w:uiPriority w:val="9"/>
    <w:rPr>
      <w:rFonts w:ascii="Arial" w:hAnsi="Arial" w:eastAsia="Arial" w:cs="Arial"/>
      <w:sz w:val="34"/>
    </w:rPr>
  </w:style>
  <w:style w:type="character" w:styleId="734" w:customStyle="1">
    <w:name w:val="Heading 3 Char"/>
    <w:basedOn w:val="729"/>
    <w:uiPriority w:val="9"/>
    <w:rPr>
      <w:rFonts w:ascii="Arial" w:hAnsi="Arial" w:eastAsia="Arial" w:cs="Arial"/>
      <w:sz w:val="30"/>
      <w:szCs w:val="30"/>
    </w:rPr>
  </w:style>
  <w:style w:type="character" w:styleId="735" w:customStyle="1">
    <w:name w:val="Heading 4 Char"/>
    <w:basedOn w:val="729"/>
    <w:uiPriority w:val="9"/>
    <w:rPr>
      <w:rFonts w:ascii="Arial" w:hAnsi="Arial" w:eastAsia="Arial" w:cs="Arial"/>
      <w:b/>
      <w:bCs/>
      <w:sz w:val="26"/>
      <w:szCs w:val="26"/>
    </w:rPr>
  </w:style>
  <w:style w:type="character" w:styleId="736" w:customStyle="1">
    <w:name w:val="Heading 5 Char"/>
    <w:basedOn w:val="729"/>
    <w:uiPriority w:val="9"/>
    <w:rPr>
      <w:rFonts w:ascii="Arial" w:hAnsi="Arial" w:eastAsia="Arial" w:cs="Arial"/>
      <w:b/>
      <w:bCs/>
      <w:sz w:val="24"/>
      <w:szCs w:val="24"/>
    </w:rPr>
  </w:style>
  <w:style w:type="character" w:styleId="737" w:customStyle="1">
    <w:name w:val="Heading 6 Char"/>
    <w:basedOn w:val="729"/>
    <w:uiPriority w:val="9"/>
    <w:rPr>
      <w:rFonts w:ascii="Arial" w:hAnsi="Arial" w:eastAsia="Arial" w:cs="Arial"/>
      <w:b/>
      <w:bCs/>
      <w:sz w:val="22"/>
      <w:szCs w:val="22"/>
    </w:rPr>
  </w:style>
  <w:style w:type="character" w:styleId="738" w:customStyle="1">
    <w:name w:val="Heading 7 Char"/>
    <w:basedOn w:val="72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9" w:customStyle="1">
    <w:name w:val="Heading 8 Char"/>
    <w:basedOn w:val="729"/>
    <w:uiPriority w:val="9"/>
    <w:rPr>
      <w:rFonts w:ascii="Arial" w:hAnsi="Arial" w:eastAsia="Arial" w:cs="Arial"/>
      <w:i/>
      <w:iCs/>
      <w:sz w:val="22"/>
      <w:szCs w:val="22"/>
    </w:rPr>
  </w:style>
  <w:style w:type="character" w:styleId="740" w:customStyle="1">
    <w:name w:val="Heading 9 Char"/>
    <w:basedOn w:val="729"/>
    <w:uiPriority w:val="9"/>
    <w:rPr>
      <w:rFonts w:ascii="Arial" w:hAnsi="Arial" w:eastAsia="Arial" w:cs="Arial"/>
      <w:i/>
      <w:iCs/>
      <w:sz w:val="21"/>
      <w:szCs w:val="21"/>
    </w:rPr>
  </w:style>
  <w:style w:type="character" w:styleId="741" w:customStyle="1">
    <w:name w:val="Title Char"/>
    <w:basedOn w:val="729"/>
    <w:uiPriority w:val="10"/>
    <w:rPr>
      <w:sz w:val="48"/>
      <w:szCs w:val="48"/>
    </w:rPr>
  </w:style>
  <w:style w:type="character" w:styleId="742" w:customStyle="1">
    <w:name w:val="Subtitle Char"/>
    <w:basedOn w:val="729"/>
    <w:uiPriority w:val="11"/>
    <w:rPr>
      <w:sz w:val="24"/>
      <w:szCs w:val="24"/>
    </w:rPr>
  </w:style>
  <w:style w:type="character" w:styleId="743" w:customStyle="1">
    <w:name w:val="Quote Char"/>
    <w:uiPriority w:val="29"/>
    <w:rPr>
      <w:i/>
    </w:rPr>
  </w:style>
  <w:style w:type="character" w:styleId="744" w:customStyle="1">
    <w:name w:val="Intense Quote Char"/>
    <w:uiPriority w:val="30"/>
    <w:rPr>
      <w:i/>
    </w:rPr>
  </w:style>
  <w:style w:type="character" w:styleId="745" w:customStyle="1">
    <w:name w:val="Caption Char"/>
    <w:basedOn w:val="729"/>
    <w:uiPriority w:val="35"/>
    <w:rPr>
      <w:b/>
      <w:bCs/>
      <w:color w:val="5b9bd5" w:themeColor="accent1"/>
      <w:sz w:val="18"/>
      <w:szCs w:val="18"/>
    </w:rPr>
  </w:style>
  <w:style w:type="character" w:styleId="746" w:customStyle="1">
    <w:name w:val="Footnote Text Char"/>
    <w:uiPriority w:val="99"/>
    <w:rPr>
      <w:sz w:val="18"/>
    </w:rPr>
  </w:style>
  <w:style w:type="character" w:styleId="747" w:customStyle="1">
    <w:name w:val="Endnote Text Char"/>
    <w:uiPriority w:val="99"/>
    <w:rPr>
      <w:sz w:val="20"/>
    </w:rPr>
  </w:style>
  <w:style w:type="character" w:styleId="748" w:customStyle="1">
    <w:name w:val="Заголовок 1 Знак"/>
    <w:basedOn w:val="729"/>
    <w:link w:val="720"/>
    <w:uiPriority w:val="9"/>
    <w:rPr>
      <w:rFonts w:ascii="Arial" w:hAnsi="Arial" w:eastAsia="Arial" w:cs="Arial"/>
      <w:sz w:val="40"/>
      <w:szCs w:val="40"/>
    </w:rPr>
  </w:style>
  <w:style w:type="character" w:styleId="749" w:customStyle="1">
    <w:name w:val="Заголовок 2 Знак"/>
    <w:basedOn w:val="729"/>
    <w:link w:val="721"/>
    <w:uiPriority w:val="9"/>
    <w:rPr>
      <w:rFonts w:ascii="Arial" w:hAnsi="Arial" w:eastAsia="Arial" w:cs="Arial"/>
      <w:sz w:val="34"/>
    </w:rPr>
  </w:style>
  <w:style w:type="character" w:styleId="750" w:customStyle="1">
    <w:name w:val="Заголовок 3 Знак"/>
    <w:basedOn w:val="729"/>
    <w:link w:val="722"/>
    <w:uiPriority w:val="9"/>
    <w:rPr>
      <w:rFonts w:ascii="Arial" w:hAnsi="Arial" w:eastAsia="Arial" w:cs="Arial"/>
      <w:sz w:val="30"/>
      <w:szCs w:val="30"/>
    </w:rPr>
  </w:style>
  <w:style w:type="character" w:styleId="751" w:customStyle="1">
    <w:name w:val="Заголовок 4 Знак"/>
    <w:basedOn w:val="729"/>
    <w:link w:val="723"/>
    <w:uiPriority w:val="9"/>
    <w:rPr>
      <w:rFonts w:ascii="Arial" w:hAnsi="Arial" w:eastAsia="Arial" w:cs="Arial"/>
      <w:b/>
      <w:bCs/>
      <w:sz w:val="26"/>
      <w:szCs w:val="26"/>
    </w:rPr>
  </w:style>
  <w:style w:type="character" w:styleId="752" w:customStyle="1">
    <w:name w:val="Заголовок 5 Знак"/>
    <w:basedOn w:val="729"/>
    <w:link w:val="724"/>
    <w:uiPriority w:val="9"/>
    <w:rPr>
      <w:rFonts w:ascii="Arial" w:hAnsi="Arial" w:eastAsia="Arial" w:cs="Arial"/>
      <w:b/>
      <w:bCs/>
      <w:sz w:val="24"/>
      <w:szCs w:val="24"/>
    </w:rPr>
  </w:style>
  <w:style w:type="character" w:styleId="753" w:customStyle="1">
    <w:name w:val="Заголовок 6 Знак"/>
    <w:basedOn w:val="729"/>
    <w:link w:val="725"/>
    <w:uiPriority w:val="9"/>
    <w:rPr>
      <w:rFonts w:ascii="Arial" w:hAnsi="Arial" w:eastAsia="Arial" w:cs="Arial"/>
      <w:b/>
      <w:bCs/>
      <w:sz w:val="22"/>
      <w:szCs w:val="22"/>
    </w:rPr>
  </w:style>
  <w:style w:type="character" w:styleId="754" w:customStyle="1">
    <w:name w:val="Заголовок 7 Знак"/>
    <w:basedOn w:val="729"/>
    <w:link w:val="7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5" w:customStyle="1">
    <w:name w:val="Заголовок 8 Знак"/>
    <w:basedOn w:val="729"/>
    <w:link w:val="727"/>
    <w:uiPriority w:val="9"/>
    <w:rPr>
      <w:rFonts w:ascii="Arial" w:hAnsi="Arial" w:eastAsia="Arial" w:cs="Arial"/>
      <w:i/>
      <w:iCs/>
      <w:sz w:val="22"/>
      <w:szCs w:val="22"/>
    </w:rPr>
  </w:style>
  <w:style w:type="character" w:styleId="756" w:customStyle="1">
    <w:name w:val="Заголовок 9 Знак"/>
    <w:basedOn w:val="729"/>
    <w:link w:val="728"/>
    <w:uiPriority w:val="9"/>
    <w:rPr>
      <w:rFonts w:ascii="Arial" w:hAnsi="Arial" w:eastAsia="Arial" w:cs="Arial"/>
      <w:i/>
      <w:iCs/>
      <w:sz w:val="21"/>
      <w:szCs w:val="21"/>
    </w:rPr>
  </w:style>
  <w:style w:type="paragraph" w:styleId="757">
    <w:name w:val="No Spacing"/>
    <w:uiPriority w:val="1"/>
    <w:qFormat/>
  </w:style>
  <w:style w:type="paragraph" w:styleId="758">
    <w:name w:val="Title"/>
    <w:basedOn w:val="719"/>
    <w:next w:val="719"/>
    <w:link w:val="7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9" w:customStyle="1">
    <w:name w:val="Заголовок Знак"/>
    <w:basedOn w:val="729"/>
    <w:link w:val="758"/>
    <w:uiPriority w:val="10"/>
    <w:rPr>
      <w:sz w:val="48"/>
      <w:szCs w:val="48"/>
    </w:rPr>
  </w:style>
  <w:style w:type="paragraph" w:styleId="760">
    <w:name w:val="Subtitle"/>
    <w:basedOn w:val="719"/>
    <w:next w:val="719"/>
    <w:link w:val="761"/>
    <w:uiPriority w:val="11"/>
    <w:qFormat/>
    <w:pPr>
      <w:spacing w:before="200" w:after="200"/>
    </w:pPr>
    <w:rPr>
      <w:sz w:val="24"/>
      <w:szCs w:val="24"/>
    </w:rPr>
  </w:style>
  <w:style w:type="character" w:styleId="761" w:customStyle="1">
    <w:name w:val="Подзаголовок Знак"/>
    <w:basedOn w:val="729"/>
    <w:link w:val="760"/>
    <w:uiPriority w:val="11"/>
    <w:rPr>
      <w:sz w:val="24"/>
      <w:szCs w:val="24"/>
    </w:rPr>
  </w:style>
  <w:style w:type="paragraph" w:styleId="762">
    <w:name w:val="Quote"/>
    <w:basedOn w:val="719"/>
    <w:next w:val="719"/>
    <w:link w:val="763"/>
    <w:uiPriority w:val="29"/>
    <w:qFormat/>
    <w:pPr>
      <w:ind w:left="720" w:right="720"/>
    </w:pPr>
    <w:rPr>
      <w:i/>
    </w:rPr>
  </w:style>
  <w:style w:type="character" w:styleId="763" w:customStyle="1">
    <w:name w:val="Цитата 2 Знак"/>
    <w:link w:val="762"/>
    <w:uiPriority w:val="29"/>
    <w:rPr>
      <w:i/>
    </w:rPr>
  </w:style>
  <w:style w:type="paragraph" w:styleId="764">
    <w:name w:val="Intense Quote"/>
    <w:basedOn w:val="719"/>
    <w:next w:val="719"/>
    <w:link w:val="76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5" w:customStyle="1">
    <w:name w:val="Выделенная цитата Знак"/>
    <w:link w:val="764"/>
    <w:uiPriority w:val="30"/>
    <w:rPr>
      <w:i/>
    </w:rPr>
  </w:style>
  <w:style w:type="character" w:styleId="766" w:customStyle="1">
    <w:name w:val="Header Char"/>
    <w:basedOn w:val="729"/>
    <w:uiPriority w:val="99"/>
  </w:style>
  <w:style w:type="character" w:styleId="767" w:customStyle="1">
    <w:name w:val="Footer Char"/>
    <w:basedOn w:val="729"/>
    <w:uiPriority w:val="99"/>
  </w:style>
  <w:style w:type="paragraph" w:styleId="768">
    <w:name w:val="Caption"/>
    <w:basedOn w:val="719"/>
    <w:next w:val="719"/>
    <w:link w:val="76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69" w:customStyle="1">
    <w:name w:val="Название объекта Знак"/>
    <w:basedOn w:val="729"/>
    <w:link w:val="768"/>
    <w:uiPriority w:val="35"/>
    <w:rPr>
      <w:b/>
      <w:bCs/>
      <w:color w:val="5b9bd5" w:themeColor="accent1"/>
      <w:sz w:val="18"/>
      <w:szCs w:val="18"/>
    </w:rPr>
  </w:style>
  <w:style w:type="table" w:styleId="770">
    <w:name w:val="Table Grid"/>
    <w:basedOn w:val="730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71" w:customStyle="1">
    <w:name w:val="Table Grid Light"/>
    <w:basedOn w:val="73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2">
    <w:name w:val="Plain Table 1"/>
    <w:basedOn w:val="73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3">
    <w:name w:val="Plain Table 2"/>
    <w:basedOn w:val="73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4">
    <w:name w:val="Plain Table 3"/>
    <w:basedOn w:val="73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5">
    <w:name w:val="Plain Table 4"/>
    <w:basedOn w:val="73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Plain Table 5"/>
    <w:basedOn w:val="73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7">
    <w:name w:val="Grid Table 1 Light"/>
    <w:basedOn w:val="73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1"/>
    <w:basedOn w:val="730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2"/>
    <w:basedOn w:val="73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3"/>
    <w:basedOn w:val="73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4"/>
    <w:basedOn w:val="73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5"/>
    <w:basedOn w:val="730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1 Light - Accent 6"/>
    <w:basedOn w:val="73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2"/>
    <w:basedOn w:val="73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1"/>
    <w:basedOn w:val="730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2"/>
    <w:basedOn w:val="73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3"/>
    <w:basedOn w:val="73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4"/>
    <w:basedOn w:val="73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5"/>
    <w:basedOn w:val="730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6"/>
    <w:basedOn w:val="73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"/>
    <w:basedOn w:val="73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1"/>
    <w:basedOn w:val="730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2"/>
    <w:basedOn w:val="73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3"/>
    <w:basedOn w:val="73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4"/>
    <w:basedOn w:val="73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5"/>
    <w:basedOn w:val="730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6"/>
    <w:basedOn w:val="73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4"/>
    <w:basedOn w:val="73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9" w:customStyle="1">
    <w:name w:val="Grid Table 4 - Accent 1"/>
    <w:basedOn w:val="730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00" w:customStyle="1">
    <w:name w:val="Grid Table 4 - Accent 2"/>
    <w:basedOn w:val="730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01" w:customStyle="1">
    <w:name w:val="Grid Table 4 - Accent 3"/>
    <w:basedOn w:val="730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2" w:customStyle="1">
    <w:name w:val="Grid Table 4 - Accent 4"/>
    <w:basedOn w:val="730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3" w:customStyle="1">
    <w:name w:val="Grid Table 4 - Accent 5"/>
    <w:basedOn w:val="730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04" w:customStyle="1">
    <w:name w:val="Grid Table 4 - Accent 6"/>
    <w:basedOn w:val="730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05">
    <w:name w:val="Grid Table 5 Dark"/>
    <w:basedOn w:val="73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- Accent 1"/>
    <w:basedOn w:val="73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 - Accent 2"/>
    <w:basedOn w:val="73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 - Accent 3"/>
    <w:basedOn w:val="73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- Accent 4"/>
    <w:basedOn w:val="73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 - Accent 5"/>
    <w:basedOn w:val="73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5 Dark - Accent 6"/>
    <w:basedOn w:val="73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12">
    <w:name w:val="Grid Table 6 Colorful"/>
    <w:basedOn w:val="73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3" w:customStyle="1">
    <w:name w:val="Grid Table 6 Colorful - Accent 1"/>
    <w:basedOn w:val="730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14" w:customStyle="1">
    <w:name w:val="Grid Table 6 Colorful - Accent 2"/>
    <w:basedOn w:val="73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15" w:customStyle="1">
    <w:name w:val="Grid Table 6 Colorful - Accent 3"/>
    <w:basedOn w:val="730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16" w:customStyle="1">
    <w:name w:val="Grid Table 6 Colorful - Accent 4"/>
    <w:basedOn w:val="73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7" w:customStyle="1">
    <w:name w:val="Grid Table 6 Colorful - Accent 5"/>
    <w:basedOn w:val="730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8" w:customStyle="1">
    <w:name w:val="Grid Table 6 Colorful - Accent 6"/>
    <w:basedOn w:val="730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9">
    <w:name w:val="Grid Table 7 Colorful"/>
    <w:basedOn w:val="73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Grid Table 7 Colorful - Accent 1"/>
    <w:basedOn w:val="730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Grid Table 7 Colorful - Accent 2"/>
    <w:basedOn w:val="730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Grid Table 7 Colorful - Accent 3"/>
    <w:basedOn w:val="730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Grid Table 7 Colorful - Accent 4"/>
    <w:basedOn w:val="730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Grid Table 7 Colorful - Accent 5"/>
    <w:basedOn w:val="730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5" w:customStyle="1">
    <w:name w:val="Grid Table 7 Colorful - Accent 6"/>
    <w:basedOn w:val="730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>
    <w:name w:val="List Table 1 Light"/>
    <w:basedOn w:val="730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1"/>
    <w:basedOn w:val="730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2"/>
    <w:basedOn w:val="730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3"/>
    <w:basedOn w:val="730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4"/>
    <w:basedOn w:val="730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5"/>
    <w:basedOn w:val="730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6"/>
    <w:basedOn w:val="730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2"/>
    <w:basedOn w:val="73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1"/>
    <w:basedOn w:val="730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35" w:customStyle="1">
    <w:name w:val="List Table 2 - Accent 2"/>
    <w:basedOn w:val="730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36" w:customStyle="1">
    <w:name w:val="List Table 2 - Accent 3"/>
    <w:basedOn w:val="730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4"/>
    <w:basedOn w:val="730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5"/>
    <w:basedOn w:val="730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39" w:customStyle="1">
    <w:name w:val="List Table 2 - Accent 6"/>
    <w:basedOn w:val="730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40">
    <w:name w:val="List Table 3"/>
    <w:basedOn w:val="73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1"/>
    <w:basedOn w:val="730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3 - Accent 2"/>
    <w:basedOn w:val="73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3 - Accent 3"/>
    <w:basedOn w:val="730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4"/>
    <w:basedOn w:val="73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5"/>
    <w:basedOn w:val="730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3 - Accent 6"/>
    <w:basedOn w:val="730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"/>
    <w:basedOn w:val="73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1"/>
    <w:basedOn w:val="730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 - Accent 2"/>
    <w:basedOn w:val="730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 - Accent 3"/>
    <w:basedOn w:val="730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4"/>
    <w:basedOn w:val="730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5"/>
    <w:basedOn w:val="730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 - Accent 6"/>
    <w:basedOn w:val="730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5 Dark"/>
    <w:basedOn w:val="73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1"/>
    <w:basedOn w:val="730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List Table 5 Dark - Accent 2"/>
    <w:basedOn w:val="730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5 Dark - Accent 3"/>
    <w:basedOn w:val="730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4"/>
    <w:basedOn w:val="730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5"/>
    <w:basedOn w:val="730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5 Dark - Accent 6"/>
    <w:basedOn w:val="730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>
    <w:name w:val="List Table 6 Colorful"/>
    <w:basedOn w:val="73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2" w:customStyle="1">
    <w:name w:val="List Table 6 Colorful - Accent 1"/>
    <w:basedOn w:val="730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63" w:customStyle="1">
    <w:name w:val="List Table 6 Colorful - Accent 2"/>
    <w:basedOn w:val="730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64" w:customStyle="1">
    <w:name w:val="List Table 6 Colorful - Accent 3"/>
    <w:basedOn w:val="730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65" w:customStyle="1">
    <w:name w:val="List Table 6 Colorful - Accent 4"/>
    <w:basedOn w:val="730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66" w:customStyle="1">
    <w:name w:val="List Table 6 Colorful - Accent 5"/>
    <w:basedOn w:val="730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67" w:customStyle="1">
    <w:name w:val="List Table 6 Colorful - Accent 6"/>
    <w:basedOn w:val="730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68">
    <w:name w:val="List Table 7 Colorful"/>
    <w:basedOn w:val="73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9" w:customStyle="1">
    <w:name w:val="List Table 7 Colorful - Accent 1"/>
    <w:basedOn w:val="730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0" w:customStyle="1">
    <w:name w:val="List Table 7 Colorful - Accent 2"/>
    <w:basedOn w:val="730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1" w:customStyle="1">
    <w:name w:val="List Table 7 Colorful - Accent 3"/>
    <w:basedOn w:val="730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2" w:customStyle="1">
    <w:name w:val="List Table 7 Colorful - Accent 4"/>
    <w:basedOn w:val="730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3" w:customStyle="1">
    <w:name w:val="List Table 7 Colorful - Accent 5"/>
    <w:basedOn w:val="730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4" w:customStyle="1">
    <w:name w:val="List Table 7 Colorful - Accent 6"/>
    <w:basedOn w:val="730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5" w:customStyle="1">
    <w:name w:val="Lined - Accent"/>
    <w:basedOn w:val="73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6" w:customStyle="1">
    <w:name w:val="Lined - Accent 1"/>
    <w:basedOn w:val="73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7" w:customStyle="1">
    <w:name w:val="Lined - Accent 2"/>
    <w:basedOn w:val="73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8" w:customStyle="1">
    <w:name w:val="Lined - Accent 3"/>
    <w:basedOn w:val="73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9" w:customStyle="1">
    <w:name w:val="Lined - Accent 4"/>
    <w:basedOn w:val="73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0" w:customStyle="1">
    <w:name w:val="Lined - Accent 5"/>
    <w:basedOn w:val="73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1" w:customStyle="1">
    <w:name w:val="Lined - Accent 6"/>
    <w:basedOn w:val="73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2" w:customStyle="1">
    <w:name w:val="Bordered &amp; Lined - Accent"/>
    <w:basedOn w:val="730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3" w:customStyle="1">
    <w:name w:val="Bordered &amp; Lined - Accent 1"/>
    <w:basedOn w:val="730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4" w:customStyle="1">
    <w:name w:val="Bordered &amp; Lined - Accent 2"/>
    <w:basedOn w:val="730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5" w:customStyle="1">
    <w:name w:val="Bordered &amp; Lined - Accent 3"/>
    <w:basedOn w:val="730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6" w:customStyle="1">
    <w:name w:val="Bordered &amp; Lined - Accent 4"/>
    <w:basedOn w:val="730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7" w:customStyle="1">
    <w:name w:val="Bordered &amp; Lined - Accent 5"/>
    <w:basedOn w:val="730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8" w:customStyle="1">
    <w:name w:val="Bordered &amp; Lined - Accent 6"/>
    <w:basedOn w:val="730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9" w:customStyle="1">
    <w:name w:val="Bordered"/>
    <w:basedOn w:val="730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0" w:customStyle="1">
    <w:name w:val="Bordered - Accent 1"/>
    <w:basedOn w:val="730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91" w:customStyle="1">
    <w:name w:val="Bordered - Accent 2"/>
    <w:basedOn w:val="73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2" w:customStyle="1">
    <w:name w:val="Bordered - Accent 3"/>
    <w:basedOn w:val="73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3" w:customStyle="1">
    <w:name w:val="Bordered - Accent 4"/>
    <w:basedOn w:val="73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94" w:customStyle="1">
    <w:name w:val="Bordered - Accent 5"/>
    <w:basedOn w:val="730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95" w:customStyle="1">
    <w:name w:val="Bordered - Accent 6"/>
    <w:basedOn w:val="73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96">
    <w:name w:val="footnote text"/>
    <w:basedOn w:val="719"/>
    <w:link w:val="897"/>
    <w:uiPriority w:val="99"/>
    <w:semiHidden/>
    <w:unhideWhenUsed/>
    <w:pPr>
      <w:spacing w:after="40" w:line="240" w:lineRule="auto"/>
    </w:pPr>
    <w:rPr>
      <w:sz w:val="18"/>
    </w:rPr>
  </w:style>
  <w:style w:type="character" w:styleId="897" w:customStyle="1">
    <w:name w:val="Текст сноски Знак"/>
    <w:link w:val="896"/>
    <w:uiPriority w:val="99"/>
    <w:rPr>
      <w:sz w:val="18"/>
    </w:rPr>
  </w:style>
  <w:style w:type="character" w:styleId="898">
    <w:name w:val="footnote reference"/>
    <w:basedOn w:val="729"/>
    <w:uiPriority w:val="99"/>
    <w:unhideWhenUsed/>
    <w:rPr>
      <w:vertAlign w:val="superscript"/>
    </w:rPr>
  </w:style>
  <w:style w:type="paragraph" w:styleId="899">
    <w:name w:val="endnote text"/>
    <w:basedOn w:val="719"/>
    <w:link w:val="900"/>
    <w:uiPriority w:val="99"/>
    <w:semiHidden/>
    <w:unhideWhenUsed/>
    <w:pPr>
      <w:spacing w:after="0" w:line="240" w:lineRule="auto"/>
    </w:pPr>
    <w:rPr>
      <w:sz w:val="20"/>
    </w:rPr>
  </w:style>
  <w:style w:type="character" w:styleId="900" w:customStyle="1">
    <w:name w:val="Текст концевой сноски Знак"/>
    <w:link w:val="899"/>
    <w:uiPriority w:val="99"/>
    <w:rPr>
      <w:sz w:val="20"/>
    </w:rPr>
  </w:style>
  <w:style w:type="character" w:styleId="901">
    <w:name w:val="endnote reference"/>
    <w:basedOn w:val="729"/>
    <w:uiPriority w:val="99"/>
    <w:semiHidden/>
    <w:unhideWhenUsed/>
    <w:rPr>
      <w:vertAlign w:val="superscript"/>
    </w:rPr>
  </w:style>
  <w:style w:type="paragraph" w:styleId="902">
    <w:name w:val="toc 1"/>
    <w:basedOn w:val="719"/>
    <w:next w:val="719"/>
    <w:uiPriority w:val="39"/>
    <w:unhideWhenUsed/>
    <w:pPr>
      <w:spacing w:after="57"/>
    </w:pPr>
  </w:style>
  <w:style w:type="paragraph" w:styleId="903">
    <w:name w:val="toc 2"/>
    <w:basedOn w:val="719"/>
    <w:next w:val="719"/>
    <w:uiPriority w:val="39"/>
    <w:unhideWhenUsed/>
    <w:pPr>
      <w:ind w:left="283"/>
      <w:spacing w:after="57"/>
    </w:pPr>
  </w:style>
  <w:style w:type="paragraph" w:styleId="904">
    <w:name w:val="toc 3"/>
    <w:basedOn w:val="719"/>
    <w:next w:val="719"/>
    <w:uiPriority w:val="39"/>
    <w:unhideWhenUsed/>
    <w:pPr>
      <w:ind w:left="567"/>
      <w:spacing w:after="57"/>
    </w:pPr>
  </w:style>
  <w:style w:type="paragraph" w:styleId="905">
    <w:name w:val="toc 4"/>
    <w:basedOn w:val="719"/>
    <w:next w:val="719"/>
    <w:uiPriority w:val="39"/>
    <w:unhideWhenUsed/>
    <w:pPr>
      <w:ind w:left="850"/>
      <w:spacing w:after="57"/>
    </w:pPr>
  </w:style>
  <w:style w:type="paragraph" w:styleId="906">
    <w:name w:val="toc 5"/>
    <w:basedOn w:val="719"/>
    <w:next w:val="719"/>
    <w:uiPriority w:val="39"/>
    <w:unhideWhenUsed/>
    <w:pPr>
      <w:ind w:left="1134"/>
      <w:spacing w:after="57"/>
    </w:pPr>
  </w:style>
  <w:style w:type="paragraph" w:styleId="907">
    <w:name w:val="toc 6"/>
    <w:basedOn w:val="719"/>
    <w:next w:val="719"/>
    <w:uiPriority w:val="39"/>
    <w:unhideWhenUsed/>
    <w:pPr>
      <w:ind w:left="1417"/>
      <w:spacing w:after="57"/>
    </w:pPr>
  </w:style>
  <w:style w:type="paragraph" w:styleId="908">
    <w:name w:val="toc 7"/>
    <w:basedOn w:val="719"/>
    <w:next w:val="719"/>
    <w:uiPriority w:val="39"/>
    <w:unhideWhenUsed/>
    <w:pPr>
      <w:ind w:left="1701"/>
      <w:spacing w:after="57"/>
    </w:pPr>
  </w:style>
  <w:style w:type="paragraph" w:styleId="909">
    <w:name w:val="toc 8"/>
    <w:basedOn w:val="719"/>
    <w:next w:val="719"/>
    <w:uiPriority w:val="39"/>
    <w:unhideWhenUsed/>
    <w:pPr>
      <w:ind w:left="1984"/>
      <w:spacing w:after="57"/>
    </w:pPr>
  </w:style>
  <w:style w:type="paragraph" w:styleId="910">
    <w:name w:val="toc 9"/>
    <w:basedOn w:val="719"/>
    <w:next w:val="719"/>
    <w:uiPriority w:val="39"/>
    <w:unhideWhenUsed/>
    <w:pPr>
      <w:ind w:left="2268"/>
      <w:spacing w:after="57"/>
    </w:pPr>
  </w:style>
  <w:style w:type="paragraph" w:styleId="911">
    <w:name w:val="TOC Heading"/>
    <w:uiPriority w:val="39"/>
    <w:unhideWhenUsed/>
  </w:style>
  <w:style w:type="paragraph" w:styleId="912">
    <w:name w:val="table of figures"/>
    <w:basedOn w:val="719"/>
    <w:next w:val="719"/>
    <w:uiPriority w:val="99"/>
    <w:unhideWhenUsed/>
    <w:pPr>
      <w:spacing w:after="0"/>
    </w:pPr>
  </w:style>
  <w:style w:type="paragraph" w:styleId="913" w:customStyle="1">
    <w:name w:val="ConsPlusNormal"/>
    <w:qFormat/>
    <w:pPr>
      <w:widowControl w:val="off"/>
    </w:pPr>
    <w:rPr>
      <w:rFonts w:eastAsia="Times New Roman"/>
      <w:sz w:val="24"/>
      <w:szCs w:val="24"/>
    </w:rPr>
  </w:style>
  <w:style w:type="paragraph" w:styleId="914" w:customStyle="1">
    <w:name w:val="Table Paragraph"/>
    <w:basedOn w:val="719"/>
    <w:uiPriority w:val="1"/>
    <w:qFormat/>
    <w:pPr>
      <w:jc w:val="center"/>
      <w:spacing w:before="73" w:after="0" w:line="240" w:lineRule="auto"/>
      <w:widowControl w:val="off"/>
    </w:pPr>
    <w:rPr>
      <w:lang w:val="en-US" w:eastAsia="en-US"/>
    </w:rPr>
  </w:style>
  <w:style w:type="table" w:styleId="915" w:customStyle="1">
    <w:name w:val="Table Normal"/>
    <w:uiPriority w:val="2"/>
    <w:semiHidden/>
    <w:unhideWhenUsed/>
    <w:qFormat/>
    <w:pPr>
      <w:widowControl w:val="off"/>
    </w:pPr>
    <w:rPr>
      <w:sz w:val="22"/>
      <w:szCs w:val="22"/>
      <w:lang w:val="en-US" w:eastAsia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916">
    <w:name w:val="Balloon Text"/>
    <w:basedOn w:val="719"/>
    <w:link w:val="917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</w:rPr>
  </w:style>
  <w:style w:type="character" w:styleId="917" w:customStyle="1">
    <w:name w:val="Текст выноски Знак"/>
    <w:link w:val="91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918">
    <w:name w:val="Header"/>
    <w:basedOn w:val="719"/>
    <w:link w:val="91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sz w:val="20"/>
      <w:szCs w:val="20"/>
    </w:rPr>
  </w:style>
  <w:style w:type="character" w:styleId="919" w:customStyle="1">
    <w:name w:val="Верхний колонтитул Знак"/>
    <w:link w:val="918"/>
    <w:uiPriority w:val="99"/>
    <w:rPr>
      <w:rFonts w:eastAsia="Times New Roman"/>
      <w:lang w:eastAsia="ru-RU"/>
    </w:rPr>
  </w:style>
  <w:style w:type="paragraph" w:styleId="920">
    <w:name w:val="Footer"/>
    <w:basedOn w:val="719"/>
    <w:link w:val="92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sz w:val="20"/>
      <w:szCs w:val="20"/>
    </w:rPr>
  </w:style>
  <w:style w:type="character" w:styleId="921" w:customStyle="1">
    <w:name w:val="Нижний колонтитул Знак"/>
    <w:link w:val="920"/>
    <w:uiPriority w:val="99"/>
    <w:rPr>
      <w:rFonts w:eastAsia="Times New Roman"/>
      <w:lang w:eastAsia="ru-RU"/>
    </w:rPr>
  </w:style>
  <w:style w:type="character" w:styleId="922">
    <w:name w:val="Hyperlink"/>
    <w:uiPriority w:val="99"/>
    <w:unhideWhenUsed/>
    <w:rPr>
      <w:color w:val="0563c1"/>
      <w:u w:val="single"/>
    </w:rPr>
  </w:style>
  <w:style w:type="paragraph" w:styleId="923">
    <w:name w:val="List Paragraph"/>
    <w:basedOn w:val="719"/>
    <w:uiPriority w:val="34"/>
    <w:qFormat/>
    <w:pPr>
      <w:contextualSpacing/>
      <w:ind w:left="720"/>
    </w:pPr>
  </w:style>
  <w:style w:type="character" w:styleId="924" w:customStyle="1">
    <w:name w:val="Цветовое выделение"/>
    <w:uiPriority w:val="99"/>
    <w:rPr>
      <w:b/>
      <w:color w:val="26282f"/>
    </w:rPr>
  </w:style>
  <w:style w:type="paragraph" w:styleId="925" w:customStyle="1">
    <w:name w:val="Нормальный (таблица)"/>
    <w:basedOn w:val="719"/>
    <w:next w:val="719"/>
    <w:uiPriority w:val="99"/>
    <w:pPr>
      <w:jc w:val="both"/>
      <w:spacing w:after="0" w:line="240" w:lineRule="auto"/>
      <w:widowControl w:val="off"/>
    </w:pPr>
    <w:rPr>
      <w:rFonts w:ascii="Arial" w:hAnsi="Arial" w:cs="Arial"/>
      <w:sz w:val="26"/>
      <w:szCs w:val="26"/>
    </w:rPr>
  </w:style>
  <w:style w:type="paragraph" w:styleId="926" w:customStyle="1">
    <w:name w:val="Стиль1"/>
    <w:basedOn w:val="913"/>
    <w:qFormat/>
    <w:pPr>
      <w:contextualSpacing/>
      <w:framePr w:hSpace="180" w:wrap="around" w:vAnchor="text" w:hAnchor="text" w:y="1"/>
    </w:pPr>
    <w:rPr>
      <w:sz w:val="28"/>
    </w:rPr>
  </w:style>
  <w:style w:type="paragraph" w:styleId="927" w:customStyle="1">
    <w:name w:val="Прижатый влево"/>
    <w:uiPriority w:val="99"/>
    <w:qFormat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0" w:hAnsi="0" w:eastAsia="0" w:cs="0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mailto:gazprom@gazprom.ru" TargetMode="External"/><Relationship Id="rId14" Type="http://schemas.openxmlformats.org/officeDocument/2006/relationships/hyperlink" Target="mailto:T.Burkova@gazpromre.gazprom.ru," TargetMode="External"/><Relationship Id="rId15" Type="http://schemas.openxmlformats.org/officeDocument/2006/relationships/hyperlink" Target="mailto:mal@vlg.gazpro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E3518-6720-4955-9838-0F19AEFC7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diakov.net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e.fedorenko</cp:lastModifiedBy>
  <cp:revision>30</cp:revision>
  <dcterms:created xsi:type="dcterms:W3CDTF">2026-02-19T09:50:00Z</dcterms:created>
  <dcterms:modified xsi:type="dcterms:W3CDTF">2026-06-03T08:50:49Z</dcterms:modified>
</cp:coreProperties>
</file>